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14575" w:type="dxa"/>
        <w:tblLayout w:type="fixed"/>
        <w:tblLook w:val="04A0" w:firstRow="1" w:lastRow="0" w:firstColumn="1" w:lastColumn="0" w:noHBand="0" w:noVBand="1"/>
      </w:tblPr>
      <w:tblGrid>
        <w:gridCol w:w="1705"/>
        <w:gridCol w:w="5040"/>
        <w:gridCol w:w="6660"/>
        <w:gridCol w:w="1170"/>
      </w:tblGrid>
      <w:tr w:rsidR="0053033B" w14:paraId="1B6F91D7" w14:textId="77777777" w:rsidTr="006C41DF">
        <w:tc>
          <w:tcPr>
            <w:tcW w:w="14575" w:type="dxa"/>
            <w:gridSpan w:val="4"/>
            <w:shd w:val="clear" w:color="auto" w:fill="A6A6A6" w:themeFill="background1" w:themeFillShade="A6"/>
          </w:tcPr>
          <w:p w14:paraId="1E5419D4" w14:textId="77777777" w:rsidR="0053033B" w:rsidRDefault="0053033B" w:rsidP="001F35EE"/>
        </w:tc>
      </w:tr>
      <w:tr w:rsidR="0053033B" w14:paraId="49D7C282" w14:textId="77777777" w:rsidTr="006C41DF">
        <w:tc>
          <w:tcPr>
            <w:tcW w:w="14575" w:type="dxa"/>
            <w:gridSpan w:val="4"/>
          </w:tcPr>
          <w:p w14:paraId="293472FA" w14:textId="0E6BB278" w:rsidR="0053033B" w:rsidRDefault="00A70164" w:rsidP="001F35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MECHANICAL</w:t>
            </w:r>
          </w:p>
          <w:p w14:paraId="759BE419" w14:textId="77777777" w:rsidR="0053033B" w:rsidRDefault="0053033B" w:rsidP="001F3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Local Amendments</w:t>
            </w:r>
          </w:p>
          <w:p w14:paraId="39EA3902" w14:textId="77777777" w:rsidR="0053033B" w:rsidRDefault="0053033B" w:rsidP="001F3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the</w:t>
            </w:r>
          </w:p>
          <w:p w14:paraId="4059A33A" w14:textId="6B02E9C7" w:rsidR="0053033B" w:rsidRPr="0053033B" w:rsidRDefault="0053033B" w:rsidP="001F3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53033B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Edition 2023 Florida Building Code</w:t>
            </w:r>
          </w:p>
        </w:tc>
      </w:tr>
      <w:tr w:rsidR="0053033B" w14:paraId="75719983" w14:textId="77777777" w:rsidTr="006C41DF">
        <w:tc>
          <w:tcPr>
            <w:tcW w:w="14575" w:type="dxa"/>
            <w:gridSpan w:val="4"/>
            <w:shd w:val="clear" w:color="auto" w:fill="A6A6A6" w:themeFill="background1" w:themeFillShade="A6"/>
          </w:tcPr>
          <w:p w14:paraId="535816DA" w14:textId="77777777" w:rsidR="0053033B" w:rsidRDefault="0053033B" w:rsidP="001F35EE"/>
        </w:tc>
      </w:tr>
      <w:tr w:rsidR="002331CA" w14:paraId="67A00133" w14:textId="77777777" w:rsidTr="006C41DF">
        <w:tc>
          <w:tcPr>
            <w:tcW w:w="1705" w:type="dxa"/>
          </w:tcPr>
          <w:p w14:paraId="313BE66E" w14:textId="77777777" w:rsidR="00A74F42" w:rsidRPr="00A74F42" w:rsidRDefault="00A74F42" w:rsidP="001F35EE">
            <w:pPr>
              <w:jc w:val="center"/>
              <w:rPr>
                <w:b/>
                <w:bCs/>
              </w:rPr>
            </w:pPr>
          </w:p>
          <w:p w14:paraId="66B8CC07" w14:textId="77777777" w:rsidR="00A74F42" w:rsidRPr="00A74F42" w:rsidRDefault="00A74F42" w:rsidP="001F35EE">
            <w:pPr>
              <w:jc w:val="center"/>
              <w:rPr>
                <w:b/>
                <w:bCs/>
              </w:rPr>
            </w:pPr>
            <w:r w:rsidRPr="00A74F42">
              <w:rPr>
                <w:b/>
                <w:bCs/>
              </w:rPr>
              <w:t>JURISDICTION</w:t>
            </w:r>
          </w:p>
          <w:p w14:paraId="221B1B25" w14:textId="48641A29" w:rsidR="00A74F42" w:rsidRPr="00A74F42" w:rsidRDefault="00A74F42" w:rsidP="001F35EE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</w:tcPr>
          <w:p w14:paraId="3B442D1A" w14:textId="77777777" w:rsidR="00A74F42" w:rsidRPr="00A74F42" w:rsidRDefault="00A74F42" w:rsidP="00D91E0F">
            <w:pPr>
              <w:jc w:val="center"/>
              <w:rPr>
                <w:b/>
                <w:bCs/>
              </w:rPr>
            </w:pPr>
            <w:r w:rsidRPr="00A74F42">
              <w:rPr>
                <w:b/>
                <w:bCs/>
              </w:rPr>
              <w:t>DOCUMENT with</w:t>
            </w:r>
          </w:p>
          <w:p w14:paraId="56D040F8" w14:textId="1257A4B9" w:rsidR="00A74F42" w:rsidRPr="00A74F42" w:rsidRDefault="00A74F42" w:rsidP="00D91E0F">
            <w:pPr>
              <w:jc w:val="center"/>
              <w:rPr>
                <w:b/>
                <w:bCs/>
              </w:rPr>
            </w:pPr>
            <w:r w:rsidRPr="00A74F42">
              <w:rPr>
                <w:b/>
                <w:bCs/>
              </w:rPr>
              <w:t>TECHNICAL</w:t>
            </w:r>
          </w:p>
          <w:p w14:paraId="04ED2B4B" w14:textId="68DBE43F" w:rsidR="00A74F42" w:rsidRPr="00A74F42" w:rsidRDefault="00A74F42" w:rsidP="00D91E0F">
            <w:pPr>
              <w:jc w:val="center"/>
              <w:rPr>
                <w:b/>
                <w:bCs/>
              </w:rPr>
            </w:pPr>
            <w:r w:rsidRPr="00A74F42">
              <w:rPr>
                <w:b/>
                <w:bCs/>
              </w:rPr>
              <w:t>AMENDMENTS</w:t>
            </w:r>
          </w:p>
        </w:tc>
        <w:tc>
          <w:tcPr>
            <w:tcW w:w="6660" w:type="dxa"/>
          </w:tcPr>
          <w:p w14:paraId="106506F3" w14:textId="77777777" w:rsidR="00A74F42" w:rsidRPr="00A74F42" w:rsidRDefault="00A74F42" w:rsidP="001F35EE">
            <w:pPr>
              <w:jc w:val="center"/>
              <w:rPr>
                <w:b/>
                <w:bCs/>
              </w:rPr>
            </w:pPr>
          </w:p>
          <w:p w14:paraId="33F5D5C3" w14:textId="77777777" w:rsidR="00A74F42" w:rsidRDefault="00A74F42" w:rsidP="001F35EE">
            <w:pPr>
              <w:jc w:val="center"/>
              <w:rPr>
                <w:b/>
                <w:bCs/>
              </w:rPr>
            </w:pPr>
            <w:r w:rsidRPr="00A74F42">
              <w:rPr>
                <w:b/>
                <w:bCs/>
              </w:rPr>
              <w:t>TEXT OF TECHNICAL AMENDMENETS</w:t>
            </w:r>
          </w:p>
          <w:p w14:paraId="19A28F5A" w14:textId="3877D3BC" w:rsidR="00A74F42" w:rsidRPr="00A74F42" w:rsidRDefault="00A74F42" w:rsidP="001F35E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8FC5CF0" w14:textId="77777777" w:rsidR="00A74F42" w:rsidRPr="00A74F42" w:rsidRDefault="00A74F42" w:rsidP="001F35EE">
            <w:pPr>
              <w:jc w:val="center"/>
              <w:rPr>
                <w:b/>
                <w:bCs/>
              </w:rPr>
            </w:pPr>
          </w:p>
          <w:p w14:paraId="6AE56876" w14:textId="77777777" w:rsidR="00A74F42" w:rsidRDefault="00A74F42" w:rsidP="001F35EE">
            <w:pPr>
              <w:jc w:val="center"/>
              <w:rPr>
                <w:b/>
                <w:bCs/>
              </w:rPr>
            </w:pPr>
            <w:r w:rsidRPr="00A74F42">
              <w:rPr>
                <w:b/>
                <w:bCs/>
              </w:rPr>
              <w:t>TAC REVIEW</w:t>
            </w:r>
          </w:p>
          <w:p w14:paraId="2B39E8AD" w14:textId="239A7EBA" w:rsidR="00A74F42" w:rsidRPr="00A74F42" w:rsidRDefault="00A74F42" w:rsidP="001F35EE">
            <w:pPr>
              <w:jc w:val="center"/>
              <w:rPr>
                <w:b/>
                <w:bCs/>
              </w:rPr>
            </w:pPr>
          </w:p>
        </w:tc>
      </w:tr>
      <w:tr w:rsidR="002331CA" w:rsidRPr="001F35EE" w14:paraId="620EA682" w14:textId="77777777" w:rsidTr="006C41DF">
        <w:tc>
          <w:tcPr>
            <w:tcW w:w="1705" w:type="dxa"/>
            <w:shd w:val="clear" w:color="auto" w:fill="D9D9D9" w:themeFill="background1" w:themeFillShade="D9"/>
          </w:tcPr>
          <w:p w14:paraId="005ADEE4" w14:textId="77777777" w:rsidR="00A74F42" w:rsidRPr="001F35EE" w:rsidRDefault="00A74F42" w:rsidP="001F35EE"/>
        </w:tc>
        <w:tc>
          <w:tcPr>
            <w:tcW w:w="5040" w:type="dxa"/>
            <w:shd w:val="clear" w:color="auto" w:fill="D9D9D9" w:themeFill="background1" w:themeFillShade="D9"/>
          </w:tcPr>
          <w:p w14:paraId="392590BE" w14:textId="77777777" w:rsidR="00A74F42" w:rsidRPr="001F35EE" w:rsidRDefault="00A74F42" w:rsidP="001F35EE"/>
        </w:tc>
        <w:tc>
          <w:tcPr>
            <w:tcW w:w="6660" w:type="dxa"/>
            <w:shd w:val="clear" w:color="auto" w:fill="D9D9D9" w:themeFill="background1" w:themeFillShade="D9"/>
          </w:tcPr>
          <w:p w14:paraId="712EA08A" w14:textId="77777777" w:rsidR="00A74F42" w:rsidRPr="001F35EE" w:rsidRDefault="00A74F42" w:rsidP="001F35EE"/>
        </w:tc>
        <w:tc>
          <w:tcPr>
            <w:tcW w:w="1170" w:type="dxa"/>
            <w:shd w:val="clear" w:color="auto" w:fill="D9D9D9" w:themeFill="background1" w:themeFillShade="D9"/>
          </w:tcPr>
          <w:p w14:paraId="1D33AA08" w14:textId="77777777" w:rsidR="00A74F42" w:rsidRPr="001F35EE" w:rsidRDefault="00A74F42" w:rsidP="001F35EE"/>
        </w:tc>
      </w:tr>
      <w:tr w:rsidR="002331CA" w:rsidRPr="001F35EE" w14:paraId="243ABFD9" w14:textId="77777777" w:rsidTr="006C41DF">
        <w:trPr>
          <w:cantSplit/>
          <w:trHeight w:val="1134"/>
        </w:trPr>
        <w:tc>
          <w:tcPr>
            <w:tcW w:w="1705" w:type="dxa"/>
          </w:tcPr>
          <w:p w14:paraId="6716AC81" w14:textId="0044FDA4" w:rsidR="00A74F42" w:rsidRPr="001F35EE" w:rsidRDefault="00450D01" w:rsidP="001F35EE">
            <w:r w:rsidRPr="001F35EE">
              <w:t>Broward County</w:t>
            </w:r>
          </w:p>
        </w:tc>
        <w:tc>
          <w:tcPr>
            <w:tcW w:w="5040" w:type="dxa"/>
            <w:tcMar>
              <w:top w:w="14" w:type="dxa"/>
              <w:left w:w="115" w:type="dxa"/>
              <w:bottom w:w="14" w:type="dxa"/>
              <w:right w:w="3600" w:type="dxa"/>
            </w:tcMar>
          </w:tcPr>
          <w:p w14:paraId="69DF741C" w14:textId="6C61D055" w:rsidR="00DC4034" w:rsidRDefault="00DC4034" w:rsidP="00D91E0F">
            <w:pPr>
              <w:jc w:val="right"/>
            </w:pPr>
            <w:r w:rsidRPr="00DC4034">
              <w:rPr>
                <w:highlight w:val="yellow"/>
              </w:rPr>
              <w:t>Mechanical</w:t>
            </w:r>
          </w:p>
          <w:p w14:paraId="0F3228E5" w14:textId="77777777" w:rsidR="00D91E0F" w:rsidRDefault="00D91E0F" w:rsidP="00D91E0F"/>
          <w:p w14:paraId="1FDCF514" w14:textId="124547DB" w:rsidR="00DC4034" w:rsidRDefault="00DC4034" w:rsidP="006C41DF">
            <w:pPr>
              <w:ind w:right="-3420"/>
            </w:pPr>
            <w:hyperlink r:id="rId6" w:history="1">
              <w:r w:rsidRPr="00B1387F">
                <w:rPr>
                  <w:rStyle w:val="Hyperlink"/>
                </w:rPr>
                <w:t>https://floridabuilding.org/Upload/FBC/CodeID_7786_b6c3_Brwoard%20Cnty%20Local%20Amends%208th%20Ed%202023%20FBC%20MECHANICAL%20Ch%203-Ch9%20-Ch%2015-2023-12-29.pdf</w:t>
              </w:r>
            </w:hyperlink>
          </w:p>
          <w:p w14:paraId="58920702" w14:textId="77777777" w:rsidR="00DC4034" w:rsidRDefault="00DC4034" w:rsidP="00DC4034"/>
          <w:p w14:paraId="6BE4C48D" w14:textId="6B68B024" w:rsidR="00DC3D0C" w:rsidRPr="00DC3D0C" w:rsidRDefault="00DC3D0C" w:rsidP="00DC4034">
            <w:pPr>
              <w:rPr>
                <w:b/>
                <w:bCs/>
              </w:rPr>
            </w:pPr>
          </w:p>
        </w:tc>
        <w:tc>
          <w:tcPr>
            <w:tcW w:w="6660" w:type="dxa"/>
          </w:tcPr>
          <w:p w14:paraId="78BB0483" w14:textId="77777777" w:rsidR="008D66A3" w:rsidRPr="001F35EE" w:rsidRDefault="008D66A3" w:rsidP="001F35EE">
            <w:pPr>
              <w:rPr>
                <w:b/>
                <w:bCs/>
              </w:rPr>
            </w:pPr>
            <w:r w:rsidRPr="001F35EE">
              <w:rPr>
                <w:b/>
                <w:bCs/>
              </w:rPr>
              <w:t>SECTION 307 CONDENSATE DISPOSAL</w:t>
            </w:r>
          </w:p>
          <w:p w14:paraId="0E626A6F" w14:textId="77777777" w:rsidR="00A74F42" w:rsidRPr="001F35EE" w:rsidRDefault="008D66A3" w:rsidP="001F35EE">
            <w:pPr>
              <w:rPr>
                <w:b/>
                <w:bCs/>
              </w:rPr>
            </w:pPr>
            <w:r w:rsidRPr="001F35EE">
              <w:rPr>
                <w:b/>
                <w:bCs/>
              </w:rPr>
              <w:t>Section 307.2 Evaporators and cooling coils</w:t>
            </w:r>
          </w:p>
          <w:p w14:paraId="58352DF0" w14:textId="77777777" w:rsidR="008D66A3" w:rsidRPr="001F35EE" w:rsidRDefault="008D66A3" w:rsidP="001F35EE">
            <w:pPr>
              <w:rPr>
                <w:b/>
                <w:bCs/>
              </w:rPr>
            </w:pPr>
          </w:p>
          <w:p w14:paraId="621A0B3C" w14:textId="77777777" w:rsidR="008D66A3" w:rsidRPr="001F35EE" w:rsidRDefault="008D66A3" w:rsidP="001F35EE">
            <w:pPr>
              <w:rPr>
                <w:b/>
                <w:bCs/>
              </w:rPr>
            </w:pPr>
            <w:r w:rsidRPr="001F35EE">
              <w:rPr>
                <w:b/>
                <w:bCs/>
              </w:rPr>
              <w:t>Section 307.2.1 Condensate disposal.</w:t>
            </w:r>
          </w:p>
          <w:p w14:paraId="20A08264" w14:textId="7E296253" w:rsidR="008D66A3" w:rsidRPr="001F35EE" w:rsidRDefault="008D66A3" w:rsidP="001F35EE">
            <w:pPr>
              <w:rPr>
                <w:u w:val="single"/>
              </w:rPr>
            </w:pPr>
            <w:r w:rsidRPr="001F35EE">
              <w:t xml:space="preserve">Condensate from all cooling coils and evaporators </w:t>
            </w:r>
            <w:r w:rsidRPr="001F35EE">
              <w:rPr>
                <w:u w:val="single"/>
              </w:rPr>
              <w:t>of equipment served by an onsite</w:t>
            </w:r>
            <w:r w:rsidR="006C41DF">
              <w:rPr>
                <w:u w:val="single"/>
              </w:rPr>
              <w:t xml:space="preserve"> </w:t>
            </w:r>
            <w:r w:rsidRPr="001F35EE">
              <w:rPr>
                <w:u w:val="single"/>
              </w:rPr>
              <w:t>cooling tower in a building or structure wherein the aggregate cooling capacity of the</w:t>
            </w:r>
            <w:r w:rsidR="006C41DF">
              <w:rPr>
                <w:u w:val="single"/>
              </w:rPr>
              <w:t xml:space="preserve"> </w:t>
            </w:r>
            <w:r w:rsidRPr="001F35EE">
              <w:rPr>
                <w:u w:val="single"/>
              </w:rPr>
              <w:t>equipment exceeds 65,000 Btu/</w:t>
            </w:r>
            <w:proofErr w:type="spellStart"/>
            <w:r w:rsidRPr="001F35EE">
              <w:rPr>
                <w:u w:val="single"/>
              </w:rPr>
              <w:t>hr</w:t>
            </w:r>
            <w:proofErr w:type="spellEnd"/>
            <w:r w:rsidRPr="001F35EE">
              <w:rPr>
                <w:u w:val="single"/>
              </w:rPr>
              <w:t xml:space="preserve"> shall be collected and conveyed from the drain pan</w:t>
            </w:r>
            <w:r w:rsidR="006C41DF">
              <w:rPr>
                <w:u w:val="single"/>
              </w:rPr>
              <w:t xml:space="preserve"> </w:t>
            </w:r>
            <w:r w:rsidRPr="001F35EE">
              <w:rPr>
                <w:u w:val="single"/>
              </w:rPr>
              <w:t>outlet and discharged to the cooling tower. Where an on-site cooling tower is not</w:t>
            </w:r>
          </w:p>
          <w:p w14:paraId="0A5FB48E" w14:textId="2F3C5F63" w:rsidR="008D66A3" w:rsidRPr="001F35EE" w:rsidRDefault="008D66A3" w:rsidP="001F35EE">
            <w:r w:rsidRPr="001F35EE">
              <w:rPr>
                <w:u w:val="single"/>
              </w:rPr>
              <w:t>installed, the condensate from all cooling coils and evaporators</w:t>
            </w:r>
            <w:r w:rsidRPr="001F35EE">
              <w:t xml:space="preserve"> shall be conveyed from</w:t>
            </w:r>
            <w:r w:rsidR="006C41DF">
              <w:t xml:space="preserve"> </w:t>
            </w:r>
            <w:r w:rsidRPr="001F35EE">
              <w:t>the drain pan outlet to an approved place of disposal. Such piping shall maintain a</w:t>
            </w:r>
            <w:r w:rsidR="006C41DF">
              <w:t xml:space="preserve"> </w:t>
            </w:r>
            <w:r w:rsidRPr="001F35EE">
              <w:t>minimum horizontal slope in the direction of discharge of not less than one-eighth unit</w:t>
            </w:r>
            <w:r w:rsidR="006C41DF">
              <w:t xml:space="preserve"> </w:t>
            </w:r>
            <w:r w:rsidRPr="001F35EE">
              <w:t>vertical in 12 units horizontal (1-percent slope). Condensate shall not discharge into a</w:t>
            </w:r>
          </w:p>
          <w:p w14:paraId="149E576C" w14:textId="77777777" w:rsidR="008D66A3" w:rsidRPr="001F35EE" w:rsidRDefault="008D66A3" w:rsidP="001F35EE">
            <w:r w:rsidRPr="001F35EE">
              <w:t xml:space="preserve">street, alley, or other areas </w:t>
            </w:r>
            <w:proofErr w:type="gramStart"/>
            <w:r w:rsidRPr="001F35EE">
              <w:t>so as to</w:t>
            </w:r>
            <w:proofErr w:type="gramEnd"/>
            <w:r w:rsidRPr="001F35EE">
              <w:t xml:space="preserve"> cause a nuisance.</w:t>
            </w:r>
          </w:p>
          <w:p w14:paraId="3540C523" w14:textId="77777777" w:rsidR="001F35EE" w:rsidRPr="001F35EE" w:rsidRDefault="001F35EE" w:rsidP="001F35EE">
            <w:pPr>
              <w:rPr>
                <w:b/>
                <w:bCs/>
              </w:rPr>
            </w:pPr>
          </w:p>
          <w:p w14:paraId="198C87AE" w14:textId="26701776" w:rsidR="008D66A3" w:rsidRPr="001F35EE" w:rsidRDefault="008D66A3" w:rsidP="001F35EE">
            <w:pPr>
              <w:rPr>
                <w:b/>
                <w:bCs/>
                <w:u w:val="single"/>
              </w:rPr>
            </w:pPr>
            <w:r w:rsidRPr="001F35EE">
              <w:rPr>
                <w:b/>
                <w:bCs/>
                <w:u w:val="single"/>
              </w:rPr>
              <w:t>Exceptions:</w:t>
            </w:r>
          </w:p>
          <w:p w14:paraId="4151A23B" w14:textId="76011795" w:rsidR="008D66A3" w:rsidRPr="001F35EE" w:rsidRDefault="008D66A3" w:rsidP="001F35EE">
            <w:pPr>
              <w:rPr>
                <w:u w:val="single"/>
              </w:rPr>
            </w:pPr>
            <w:r w:rsidRPr="001F35EE">
              <w:rPr>
                <w:u w:val="single"/>
              </w:rPr>
              <w:t>1. Condensate from cooling coils and evaporators is not required to be collected and</w:t>
            </w:r>
            <w:r w:rsidR="00F773AC">
              <w:rPr>
                <w:u w:val="single"/>
              </w:rPr>
              <w:t xml:space="preserve"> </w:t>
            </w:r>
            <w:r w:rsidRPr="001F35EE">
              <w:rPr>
                <w:u w:val="single"/>
              </w:rPr>
              <w:t>conveyed to an on-site cooling tower, provided 1.1 through 1.3 are met:</w:t>
            </w:r>
          </w:p>
          <w:p w14:paraId="73C98B1F" w14:textId="77777777" w:rsidR="008D66A3" w:rsidRPr="001F35EE" w:rsidRDefault="008D66A3" w:rsidP="001F35EE">
            <w:pPr>
              <w:ind w:left="720"/>
              <w:rPr>
                <w:u w:val="single"/>
              </w:rPr>
            </w:pPr>
            <w:r w:rsidRPr="001F35EE">
              <w:rPr>
                <w:u w:val="single"/>
              </w:rPr>
              <w:t>1.1 The equipment comprises 10% or less of the total capacity of the cooling tower</w:t>
            </w:r>
          </w:p>
          <w:p w14:paraId="15EB0E5D" w14:textId="77777777" w:rsidR="008D66A3" w:rsidRPr="001F35EE" w:rsidRDefault="008D66A3" w:rsidP="001F35EE">
            <w:pPr>
              <w:ind w:left="720"/>
              <w:rPr>
                <w:u w:val="single"/>
              </w:rPr>
            </w:pPr>
            <w:r w:rsidRPr="001F35EE">
              <w:rPr>
                <w:u w:val="single"/>
              </w:rPr>
              <w:t>system,</w:t>
            </w:r>
          </w:p>
          <w:p w14:paraId="7592C10D" w14:textId="77777777" w:rsidR="008D66A3" w:rsidRPr="001F35EE" w:rsidRDefault="008D66A3" w:rsidP="001F35EE">
            <w:pPr>
              <w:ind w:left="720"/>
              <w:rPr>
                <w:u w:val="single"/>
              </w:rPr>
            </w:pPr>
            <w:r w:rsidRPr="001F35EE">
              <w:rPr>
                <w:u w:val="single"/>
              </w:rPr>
              <w:t xml:space="preserve">1.1 The equipment </w:t>
            </w:r>
            <w:proofErr w:type="gramStart"/>
            <w:r w:rsidRPr="001F35EE">
              <w:rPr>
                <w:u w:val="single"/>
              </w:rPr>
              <w:t>is located in</w:t>
            </w:r>
            <w:proofErr w:type="gramEnd"/>
            <w:r w:rsidRPr="001F35EE">
              <w:rPr>
                <w:u w:val="single"/>
              </w:rPr>
              <w:t xml:space="preserve"> an isolated or remote area,</w:t>
            </w:r>
          </w:p>
          <w:p w14:paraId="1A050390" w14:textId="77777777" w:rsidR="008D66A3" w:rsidRPr="001F35EE" w:rsidRDefault="008D66A3" w:rsidP="001F35EE">
            <w:pPr>
              <w:ind w:left="720"/>
              <w:rPr>
                <w:u w:val="single"/>
              </w:rPr>
            </w:pPr>
            <w:r w:rsidRPr="001F35EE">
              <w:rPr>
                <w:u w:val="single"/>
              </w:rPr>
              <w:t>1.2 The size of the equipment is 65,000 Btu/</w:t>
            </w:r>
            <w:proofErr w:type="spellStart"/>
            <w:r w:rsidRPr="001F35EE">
              <w:rPr>
                <w:u w:val="single"/>
              </w:rPr>
              <w:t>hr</w:t>
            </w:r>
            <w:proofErr w:type="spellEnd"/>
            <w:r w:rsidRPr="001F35EE">
              <w:rPr>
                <w:u w:val="single"/>
              </w:rPr>
              <w:t xml:space="preserve"> or less.</w:t>
            </w:r>
          </w:p>
          <w:p w14:paraId="4D667E42" w14:textId="77777777" w:rsidR="008D66A3" w:rsidRPr="001F35EE" w:rsidRDefault="008D66A3" w:rsidP="001F35EE">
            <w:pPr>
              <w:rPr>
                <w:u w:val="single"/>
              </w:rPr>
            </w:pPr>
            <w:r w:rsidRPr="001F35EE">
              <w:rPr>
                <w:u w:val="single"/>
              </w:rPr>
              <w:lastRenderedPageBreak/>
              <w:t xml:space="preserve">2. In existing buildings, </w:t>
            </w:r>
            <w:proofErr w:type="gramStart"/>
            <w:r w:rsidRPr="001F35EE">
              <w:rPr>
                <w:u w:val="single"/>
              </w:rPr>
              <w:t>condensate</w:t>
            </w:r>
            <w:proofErr w:type="gramEnd"/>
            <w:r w:rsidRPr="001F35EE">
              <w:rPr>
                <w:u w:val="single"/>
              </w:rPr>
              <w:t xml:space="preserve"> may be collected and conveyed to a cooling tower or</w:t>
            </w:r>
          </w:p>
          <w:p w14:paraId="3AB63399" w14:textId="77777777" w:rsidR="008D66A3" w:rsidRPr="001F35EE" w:rsidRDefault="008D66A3" w:rsidP="001F35EE">
            <w:pPr>
              <w:rPr>
                <w:u w:val="single"/>
              </w:rPr>
            </w:pPr>
            <w:r w:rsidRPr="001F35EE">
              <w:rPr>
                <w:u w:val="single"/>
              </w:rPr>
              <w:t>discharged to an approved place of disposal.</w:t>
            </w:r>
          </w:p>
          <w:p w14:paraId="42554072" w14:textId="700686BC" w:rsidR="001F35EE" w:rsidRPr="001F35EE" w:rsidRDefault="001F35EE" w:rsidP="001F35EE"/>
        </w:tc>
        <w:tc>
          <w:tcPr>
            <w:tcW w:w="1170" w:type="dxa"/>
          </w:tcPr>
          <w:p w14:paraId="2B3826F1" w14:textId="77777777" w:rsidR="00A74F42" w:rsidRPr="001F35EE" w:rsidRDefault="00A74F42" w:rsidP="001F35EE"/>
        </w:tc>
      </w:tr>
      <w:tr w:rsidR="002331CA" w:rsidRPr="001F35EE" w14:paraId="67515FF9" w14:textId="77777777" w:rsidTr="006C41DF">
        <w:tc>
          <w:tcPr>
            <w:tcW w:w="1705" w:type="dxa"/>
          </w:tcPr>
          <w:p w14:paraId="1DFA6C51" w14:textId="1CB86DBF" w:rsidR="00A74F42" w:rsidRPr="001F35EE" w:rsidRDefault="006C507E" w:rsidP="001F35EE">
            <w:r>
              <w:t>Broward County</w:t>
            </w:r>
          </w:p>
        </w:tc>
        <w:tc>
          <w:tcPr>
            <w:tcW w:w="5040" w:type="dxa"/>
            <w:tcMar>
              <w:left w:w="115" w:type="dxa"/>
              <w:right w:w="115" w:type="dxa"/>
            </w:tcMar>
          </w:tcPr>
          <w:p w14:paraId="2B1A2FAD" w14:textId="77777777" w:rsidR="00A74F42" w:rsidRPr="001F35EE" w:rsidRDefault="00A74F42" w:rsidP="001F35EE"/>
        </w:tc>
        <w:tc>
          <w:tcPr>
            <w:tcW w:w="6660" w:type="dxa"/>
          </w:tcPr>
          <w:p w14:paraId="4EC1FC05" w14:textId="77777777" w:rsidR="006C507E" w:rsidRPr="006C507E" w:rsidRDefault="006C507E" w:rsidP="006C507E">
            <w:pPr>
              <w:rPr>
                <w:b/>
                <w:bCs/>
              </w:rPr>
            </w:pPr>
            <w:r w:rsidRPr="006C507E">
              <w:rPr>
                <w:b/>
                <w:bCs/>
              </w:rPr>
              <w:t>CHAPTER 9 SPECIFIC APPLIANCES, FIREPLACES, AND SOLID FUEL-BURNING EQUIPMENT</w:t>
            </w:r>
          </w:p>
          <w:p w14:paraId="298729DC" w14:textId="77777777" w:rsidR="006C507E" w:rsidRDefault="006C507E" w:rsidP="006C507E">
            <w:pPr>
              <w:rPr>
                <w:b/>
                <w:bCs/>
              </w:rPr>
            </w:pPr>
          </w:p>
          <w:p w14:paraId="02EE1CD1" w14:textId="54FDD953" w:rsidR="006C507E" w:rsidRPr="006C507E" w:rsidRDefault="006C507E" w:rsidP="006C507E">
            <w:pPr>
              <w:rPr>
                <w:b/>
                <w:bCs/>
              </w:rPr>
            </w:pPr>
            <w:r w:rsidRPr="006C507E">
              <w:rPr>
                <w:b/>
                <w:bCs/>
              </w:rPr>
              <w:t>SECTION 908 COOLING TOWERS, EVAPORATIVE CONDENSERS, AND FLUID COOLERS</w:t>
            </w:r>
          </w:p>
          <w:p w14:paraId="23CB9AC9" w14:textId="77777777" w:rsidR="006C507E" w:rsidRDefault="006C507E" w:rsidP="006C507E">
            <w:pPr>
              <w:rPr>
                <w:b/>
                <w:bCs/>
              </w:rPr>
            </w:pPr>
          </w:p>
          <w:p w14:paraId="03D43EF8" w14:textId="6A56ECE9" w:rsidR="006C507E" w:rsidRPr="006C507E" w:rsidRDefault="006C507E" w:rsidP="006C507E">
            <w:pPr>
              <w:rPr>
                <w:b/>
                <w:bCs/>
              </w:rPr>
            </w:pPr>
            <w:r w:rsidRPr="006C507E">
              <w:rPr>
                <w:b/>
                <w:bCs/>
              </w:rPr>
              <w:t>Section 908.3 Location.</w:t>
            </w:r>
          </w:p>
          <w:p w14:paraId="008056B0" w14:textId="77777777" w:rsidR="006C507E" w:rsidRDefault="006C507E" w:rsidP="006C507E">
            <w:r>
              <w:t>Cooling towers, evaporative condensers, and fluid coolers shall be located to prevent the discharge</w:t>
            </w:r>
          </w:p>
          <w:p w14:paraId="568A56F3" w14:textId="77777777" w:rsidR="006C507E" w:rsidRDefault="006C507E" w:rsidP="006C507E">
            <w:r>
              <w:t>vapor plumes from entering occupied spaces. Plume discharges shall be not less than 5 feet (1524</w:t>
            </w:r>
          </w:p>
          <w:p w14:paraId="14367BA1" w14:textId="77777777" w:rsidR="006C507E" w:rsidRDefault="006C507E" w:rsidP="006C507E">
            <w:proofErr w:type="gramStart"/>
            <w:r>
              <w:t>mm) above</w:t>
            </w:r>
            <w:proofErr w:type="gramEnd"/>
            <w:r>
              <w:t xml:space="preserve"> or 20 feet (6096 mm) away from any ventilation inlet to a building. Location on the property</w:t>
            </w:r>
          </w:p>
          <w:p w14:paraId="09319540" w14:textId="77777777" w:rsidR="006C507E" w:rsidRDefault="006C507E" w:rsidP="006C507E">
            <w:r>
              <w:t>shall be as required for buildings in accordance with the Florida Building Code, Building.</w:t>
            </w:r>
          </w:p>
          <w:p w14:paraId="3E316273" w14:textId="77777777" w:rsidR="006C507E" w:rsidRDefault="006C507E" w:rsidP="006C507E"/>
          <w:p w14:paraId="4E376FD9" w14:textId="77777777" w:rsidR="006C507E" w:rsidRPr="006C507E" w:rsidRDefault="006C507E" w:rsidP="006C507E">
            <w:pPr>
              <w:rPr>
                <w:u w:val="single"/>
              </w:rPr>
            </w:pPr>
            <w:r w:rsidRPr="006C507E">
              <w:rPr>
                <w:b/>
                <w:bCs/>
                <w:u w:val="single"/>
              </w:rPr>
              <w:t>Section 908.3.1</w:t>
            </w:r>
            <w:r w:rsidRPr="006C507E">
              <w:rPr>
                <w:u w:val="single"/>
              </w:rPr>
              <w:t xml:space="preserve"> Sitting of cooling towers shall comply with Section 7.2.1 of ASHRAE 188-2021.</w:t>
            </w:r>
          </w:p>
          <w:p w14:paraId="54F6CA92" w14:textId="77777777" w:rsidR="00A74F42" w:rsidRDefault="006C507E" w:rsidP="006C507E">
            <w:r w:rsidRPr="006C507E">
              <w:rPr>
                <w:u w:val="single"/>
              </w:rPr>
              <w:t>Exception: The replacement of existing cooling towers on previously permitted and approved locations.</w:t>
            </w:r>
          </w:p>
          <w:p w14:paraId="3BEA4572" w14:textId="77777777" w:rsidR="006C507E" w:rsidRDefault="006C507E" w:rsidP="006C507E"/>
          <w:p w14:paraId="7CCE3B74" w14:textId="77777777" w:rsidR="006C507E" w:rsidRPr="006C507E" w:rsidRDefault="006C507E" w:rsidP="006C507E">
            <w:pPr>
              <w:rPr>
                <w:b/>
                <w:bCs/>
              </w:rPr>
            </w:pPr>
            <w:r w:rsidRPr="006C507E">
              <w:rPr>
                <w:b/>
                <w:bCs/>
              </w:rPr>
              <w:t>CHAPTER 15 REFERENCED STANDARDS</w:t>
            </w:r>
          </w:p>
          <w:p w14:paraId="0ECBC1C3" w14:textId="77777777" w:rsidR="006C507E" w:rsidRDefault="006C507E" w:rsidP="006C507E">
            <w:r w:rsidRPr="006C507E">
              <w:rPr>
                <w:b/>
                <w:bCs/>
              </w:rPr>
              <w:t>ASHRAE</w:t>
            </w:r>
            <w:r>
              <w:t xml:space="preserve"> American Society of Heating, Refrigerating</w:t>
            </w:r>
          </w:p>
          <w:p w14:paraId="39D5099E" w14:textId="77777777" w:rsidR="006C507E" w:rsidRDefault="006C507E" w:rsidP="006C507E">
            <w:r>
              <w:t>and Air-Conditioning Engineers, Inc.</w:t>
            </w:r>
          </w:p>
          <w:p w14:paraId="3CDEB995" w14:textId="77777777" w:rsidR="006C507E" w:rsidRDefault="006C507E" w:rsidP="006C507E">
            <w:r>
              <w:t>1791 Tullie Circle, NE</w:t>
            </w:r>
          </w:p>
          <w:p w14:paraId="47825209" w14:textId="77777777" w:rsidR="006C507E" w:rsidRDefault="006C507E" w:rsidP="006C507E">
            <w:r>
              <w:t>Atlanta, GA 30329</w:t>
            </w:r>
          </w:p>
          <w:p w14:paraId="6D91F2FE" w14:textId="77777777" w:rsidR="006C507E" w:rsidRDefault="006C507E" w:rsidP="006C507E">
            <w:r>
              <w:t>Standard Reference Number Title Referenced in Code</w:t>
            </w:r>
          </w:p>
          <w:p w14:paraId="1323DE4E" w14:textId="77777777" w:rsidR="006C507E" w:rsidRDefault="006C507E" w:rsidP="006C507E">
            <w:r>
              <w:t>Section Number</w:t>
            </w:r>
          </w:p>
          <w:p w14:paraId="6FB8E55A" w14:textId="77777777" w:rsidR="006C507E" w:rsidRDefault="006C507E" w:rsidP="006C507E"/>
          <w:p w14:paraId="62141CB1" w14:textId="71BF5946" w:rsidR="006C507E" w:rsidRDefault="006C507E" w:rsidP="008A65BF">
            <w:r w:rsidRPr="006C507E">
              <w:rPr>
                <w:b/>
                <w:bCs/>
              </w:rPr>
              <w:t>ASHRAE—2021</w:t>
            </w:r>
            <w:r>
              <w:t xml:space="preserve"> </w:t>
            </w:r>
            <w:r w:rsidR="008A65BF">
              <w:t xml:space="preserve">          </w:t>
            </w:r>
            <w:r>
              <w:t xml:space="preserve">ASHRAE Fundamentals Handbook </w:t>
            </w:r>
            <w:r w:rsidR="008A65BF">
              <w:t xml:space="preserve">                                        </w:t>
            </w:r>
            <w:r>
              <w:t>603.2</w:t>
            </w:r>
          </w:p>
          <w:p w14:paraId="389DA1A5" w14:textId="77470C6A" w:rsidR="006C507E" w:rsidRDefault="006C507E" w:rsidP="006C507E">
            <w:r>
              <w:lastRenderedPageBreak/>
              <w:t xml:space="preserve">15—2019 </w:t>
            </w:r>
            <w:r w:rsidR="008A65BF">
              <w:t xml:space="preserve">                    </w:t>
            </w:r>
            <w:r>
              <w:t>Safety Standard for Refrigeration</w:t>
            </w:r>
            <w:r w:rsidR="008A65BF">
              <w:t xml:space="preserve">                                         </w:t>
            </w:r>
            <w:r w:rsidR="008A65BF" w:rsidRPr="008A65BF">
              <w:t>1101.6, 1105.8, 1108.1</w:t>
            </w:r>
          </w:p>
          <w:p w14:paraId="271CB97A" w14:textId="42F97695" w:rsidR="008A65BF" w:rsidRDefault="008A65BF" w:rsidP="006C507E">
            <w:r>
              <w:t xml:space="preserve">                                       </w:t>
            </w:r>
            <w:r w:rsidR="006C507E">
              <w:t>Systems</w:t>
            </w:r>
          </w:p>
          <w:p w14:paraId="124F0DA3" w14:textId="50A36313" w:rsidR="006C507E" w:rsidRDefault="006C507E" w:rsidP="006C507E">
            <w:r>
              <w:t xml:space="preserve"> </w:t>
            </w:r>
          </w:p>
          <w:p w14:paraId="7DCADFC2" w14:textId="3D3177B5" w:rsidR="006C507E" w:rsidRDefault="006C507E" w:rsidP="006C507E">
            <w:r>
              <w:t xml:space="preserve">34—2019 </w:t>
            </w:r>
            <w:r w:rsidR="008A65BF">
              <w:t xml:space="preserve">                    </w:t>
            </w:r>
            <w:r>
              <w:t>Designation and Safety Classification</w:t>
            </w:r>
            <w:r w:rsidR="008A65BF">
              <w:t xml:space="preserve">                                   202, </w:t>
            </w:r>
            <w:r w:rsidR="008A65BF" w:rsidRPr="008A65BF">
              <w:t>1102.2.1, 1103.1</w:t>
            </w:r>
          </w:p>
          <w:p w14:paraId="6AF7027F" w14:textId="21974331" w:rsidR="006C507E" w:rsidRDefault="008A65BF" w:rsidP="006C507E">
            <w:r>
              <w:t xml:space="preserve">                                       </w:t>
            </w:r>
            <w:proofErr w:type="gramStart"/>
            <w:r w:rsidR="006C507E">
              <w:t>of Refrigerants</w:t>
            </w:r>
            <w:proofErr w:type="gramEnd"/>
            <w:r w:rsidR="006C507E">
              <w:t xml:space="preserve"> </w:t>
            </w:r>
          </w:p>
          <w:p w14:paraId="4C2185F0" w14:textId="77777777" w:rsidR="008A65BF" w:rsidRDefault="008A65BF" w:rsidP="006C507E"/>
          <w:p w14:paraId="0941046E" w14:textId="4DEDF734" w:rsidR="006C507E" w:rsidRDefault="006C507E" w:rsidP="006C507E">
            <w:r>
              <w:t xml:space="preserve">62.1—2019 </w:t>
            </w:r>
            <w:r w:rsidR="008A65BF">
              <w:t xml:space="preserve">                 </w:t>
            </w:r>
            <w:r>
              <w:t>Ventilation for Acceptable Indoor Air</w:t>
            </w:r>
            <w:r w:rsidR="008A65BF">
              <w:t xml:space="preserve"> </w:t>
            </w:r>
            <w:r>
              <w:t xml:space="preserve">Quality </w:t>
            </w:r>
            <w:r w:rsidR="008A65BF">
              <w:t xml:space="preserve">                  </w:t>
            </w:r>
            <w:r>
              <w:t>403.3.1.1.2.3.2</w:t>
            </w:r>
          </w:p>
          <w:p w14:paraId="40CF22B6" w14:textId="77777777" w:rsidR="008A65BF" w:rsidRDefault="008A65BF" w:rsidP="006C507E"/>
          <w:p w14:paraId="1E53ADDB" w14:textId="120678B8" w:rsidR="006C507E" w:rsidRDefault="006C507E" w:rsidP="006C507E">
            <w:r>
              <w:t xml:space="preserve">170—2017 </w:t>
            </w:r>
            <w:r w:rsidR="008A65BF">
              <w:t xml:space="preserve">                  </w:t>
            </w:r>
            <w:r>
              <w:t xml:space="preserve">Ventilation of Health Care Facilities </w:t>
            </w:r>
            <w:r w:rsidR="008A65BF">
              <w:t xml:space="preserve">                                   </w:t>
            </w:r>
            <w:r>
              <w:t>407</w:t>
            </w:r>
          </w:p>
          <w:p w14:paraId="698E38AA" w14:textId="77777777" w:rsidR="008A65BF" w:rsidRDefault="008A65BF" w:rsidP="006C507E"/>
          <w:p w14:paraId="0B415F63" w14:textId="7078D057" w:rsidR="006C507E" w:rsidRDefault="006C507E" w:rsidP="006C507E">
            <w:r>
              <w:t>ANSI/AMCA 210- ANSI/ASHRAE</w:t>
            </w:r>
            <w:r w:rsidR="0091406C">
              <w:t xml:space="preserve">         </w:t>
            </w:r>
            <w:r w:rsidR="0091406C" w:rsidRPr="0091406C">
              <w:t>Laboratory Methods of Testing Fans</w:t>
            </w:r>
            <w:r w:rsidR="0091406C">
              <w:t xml:space="preserve">        403.3.2.4</w:t>
            </w:r>
          </w:p>
          <w:p w14:paraId="65F50E9D" w14:textId="438962D3" w:rsidR="006C507E" w:rsidRDefault="006C507E" w:rsidP="006C507E">
            <w:r>
              <w:t>51—16</w:t>
            </w:r>
            <w:r w:rsidR="0091406C">
              <w:t xml:space="preserve">                                                    for Aerodynamic Performance Rating </w:t>
            </w:r>
          </w:p>
          <w:p w14:paraId="48B3BD6D" w14:textId="729045C3" w:rsidR="006C507E" w:rsidRDefault="006C507E" w:rsidP="006C507E"/>
          <w:p w14:paraId="143D53A8" w14:textId="73179EC9" w:rsidR="006C507E" w:rsidRPr="0091406C" w:rsidRDefault="006C507E" w:rsidP="006C507E">
            <w:pPr>
              <w:rPr>
                <w:u w:val="single"/>
              </w:rPr>
            </w:pPr>
            <w:r w:rsidRPr="0091406C">
              <w:rPr>
                <w:u w:val="single"/>
              </w:rPr>
              <w:t>188-2021</w:t>
            </w:r>
            <w:r w:rsidR="0091406C" w:rsidRPr="0091406C">
              <w:rPr>
                <w:u w:val="single"/>
              </w:rPr>
              <w:t xml:space="preserve">                      </w:t>
            </w:r>
            <w:r w:rsidRPr="0091406C">
              <w:rPr>
                <w:u w:val="single"/>
              </w:rPr>
              <w:t>Legionellosis:</w:t>
            </w:r>
            <w:r w:rsidR="0091406C" w:rsidRPr="0091406C">
              <w:rPr>
                <w:u w:val="single"/>
              </w:rPr>
              <w:t xml:space="preserve">                                                                           908.3.1</w:t>
            </w:r>
          </w:p>
          <w:p w14:paraId="26A3C7EE" w14:textId="3CB4D339" w:rsidR="006C507E" w:rsidRPr="006C507E" w:rsidRDefault="0091406C" w:rsidP="0091406C">
            <w:r w:rsidRPr="0091406C">
              <w:rPr>
                <w:u w:val="single"/>
              </w:rPr>
              <w:t xml:space="preserve">                                       </w:t>
            </w:r>
            <w:r w:rsidR="006C507E" w:rsidRPr="0091406C">
              <w:rPr>
                <w:u w:val="single"/>
              </w:rPr>
              <w:t>Risk Management for</w:t>
            </w:r>
            <w:r w:rsidRPr="0091406C">
              <w:rPr>
                <w:u w:val="single"/>
              </w:rPr>
              <w:t xml:space="preserve"> </w:t>
            </w:r>
            <w:r w:rsidR="006C507E" w:rsidRPr="0091406C">
              <w:rPr>
                <w:u w:val="single"/>
              </w:rPr>
              <w:t>Building Water Systems</w:t>
            </w:r>
            <w:r w:rsidRPr="0091406C">
              <w:rPr>
                <w:u w:val="single"/>
              </w:rPr>
              <w:t xml:space="preserve"> </w:t>
            </w:r>
          </w:p>
        </w:tc>
        <w:tc>
          <w:tcPr>
            <w:tcW w:w="1170" w:type="dxa"/>
          </w:tcPr>
          <w:p w14:paraId="7439C542" w14:textId="77777777" w:rsidR="00A74F42" w:rsidRPr="001F35EE" w:rsidRDefault="00A74F42" w:rsidP="001F35EE"/>
        </w:tc>
      </w:tr>
    </w:tbl>
    <w:p w14:paraId="4D591395" w14:textId="0CA7A6A4" w:rsidR="003D35FE" w:rsidRDefault="003D35FE" w:rsidP="00436AD2"/>
    <w:tbl>
      <w:tblPr>
        <w:tblStyle w:val="TableGrid"/>
        <w:tblpPr w:leftFromText="180" w:rightFromText="180" w:vertAnchor="text" w:tblpY="1"/>
        <w:tblOverlap w:val="never"/>
        <w:tblW w:w="14390" w:type="dxa"/>
        <w:tblLayout w:type="fixed"/>
        <w:tblLook w:val="04A0" w:firstRow="1" w:lastRow="0" w:firstColumn="1" w:lastColumn="0" w:noHBand="0" w:noVBand="1"/>
      </w:tblPr>
      <w:tblGrid>
        <w:gridCol w:w="1705"/>
        <w:gridCol w:w="5040"/>
        <w:gridCol w:w="5850"/>
        <w:gridCol w:w="1795"/>
      </w:tblGrid>
      <w:tr w:rsidR="007A30EE" w:rsidRPr="001F35EE" w14:paraId="64CB9201" w14:textId="77777777" w:rsidTr="00D91E0F">
        <w:tc>
          <w:tcPr>
            <w:tcW w:w="1705" w:type="dxa"/>
            <w:shd w:val="clear" w:color="auto" w:fill="D0CECE" w:themeFill="background2" w:themeFillShade="E6"/>
          </w:tcPr>
          <w:p w14:paraId="32D44AFB" w14:textId="0C6825FF" w:rsidR="007A30EE" w:rsidRPr="001F35EE" w:rsidRDefault="007A30EE" w:rsidP="001F35EE"/>
        </w:tc>
        <w:tc>
          <w:tcPr>
            <w:tcW w:w="5040" w:type="dxa"/>
            <w:shd w:val="clear" w:color="auto" w:fill="D0CECE" w:themeFill="background2" w:themeFillShade="E6"/>
            <w:tcMar>
              <w:left w:w="115" w:type="dxa"/>
              <w:right w:w="115" w:type="dxa"/>
            </w:tcMar>
          </w:tcPr>
          <w:p w14:paraId="154D50A2" w14:textId="77777777" w:rsidR="007A30EE" w:rsidRDefault="007A30EE" w:rsidP="001F35EE"/>
        </w:tc>
        <w:tc>
          <w:tcPr>
            <w:tcW w:w="5850" w:type="dxa"/>
            <w:shd w:val="clear" w:color="auto" w:fill="D0CECE" w:themeFill="background2" w:themeFillShade="E6"/>
          </w:tcPr>
          <w:p w14:paraId="521B1B56" w14:textId="77777777" w:rsidR="007A30EE" w:rsidRPr="0091406C" w:rsidRDefault="007A30EE" w:rsidP="0091406C">
            <w:pPr>
              <w:rPr>
                <w:b/>
                <w:bCs/>
              </w:rPr>
            </w:pPr>
          </w:p>
        </w:tc>
        <w:tc>
          <w:tcPr>
            <w:tcW w:w="1795" w:type="dxa"/>
            <w:shd w:val="clear" w:color="auto" w:fill="D0CECE" w:themeFill="background2" w:themeFillShade="E6"/>
          </w:tcPr>
          <w:p w14:paraId="74F48CD4" w14:textId="77777777" w:rsidR="007A30EE" w:rsidRPr="001F35EE" w:rsidRDefault="007A30EE" w:rsidP="001F35EE"/>
        </w:tc>
      </w:tr>
      <w:tr w:rsidR="002331CA" w:rsidRPr="001F35EE" w14:paraId="59BD2FA7" w14:textId="77777777" w:rsidTr="00D91E0F">
        <w:tc>
          <w:tcPr>
            <w:tcW w:w="1705" w:type="dxa"/>
          </w:tcPr>
          <w:p w14:paraId="7467D28E" w14:textId="73FF2043" w:rsidR="00A74F42" w:rsidRPr="001F35EE" w:rsidRDefault="00DC4034" w:rsidP="001F35EE">
            <w:r>
              <w:t>Broward County</w:t>
            </w:r>
          </w:p>
        </w:tc>
        <w:tc>
          <w:tcPr>
            <w:tcW w:w="5040" w:type="dxa"/>
            <w:tcMar>
              <w:left w:w="115" w:type="dxa"/>
              <w:right w:w="115" w:type="dxa"/>
            </w:tcMar>
          </w:tcPr>
          <w:p w14:paraId="4E05923D" w14:textId="48580686" w:rsidR="00A74F42" w:rsidRPr="001F35EE" w:rsidRDefault="00A74F42" w:rsidP="001F35EE"/>
        </w:tc>
        <w:tc>
          <w:tcPr>
            <w:tcW w:w="5850" w:type="dxa"/>
          </w:tcPr>
          <w:p w14:paraId="5E9B801C" w14:textId="77777777" w:rsidR="0091406C" w:rsidRPr="0091406C" w:rsidRDefault="0091406C" w:rsidP="0091406C">
            <w:pPr>
              <w:rPr>
                <w:b/>
                <w:bCs/>
              </w:rPr>
            </w:pPr>
            <w:r w:rsidRPr="0091406C">
              <w:rPr>
                <w:b/>
                <w:bCs/>
              </w:rPr>
              <w:t>CHAPTER 9 SPECIFIC APPLIANCES, FIREPLACES, AND SOLID FUEL-BURNING</w:t>
            </w:r>
          </w:p>
          <w:p w14:paraId="0E8E9DC6" w14:textId="77777777" w:rsidR="0091406C" w:rsidRPr="0091406C" w:rsidRDefault="0091406C" w:rsidP="0091406C">
            <w:pPr>
              <w:rPr>
                <w:b/>
                <w:bCs/>
              </w:rPr>
            </w:pPr>
            <w:r w:rsidRPr="0091406C">
              <w:rPr>
                <w:b/>
                <w:bCs/>
              </w:rPr>
              <w:t>EQUIPMENT</w:t>
            </w:r>
          </w:p>
          <w:p w14:paraId="6526808F" w14:textId="77777777" w:rsidR="0091406C" w:rsidRDefault="0091406C" w:rsidP="0091406C"/>
          <w:p w14:paraId="1047621D" w14:textId="5DA6DAD8" w:rsidR="0091406C" w:rsidRPr="00533D11" w:rsidRDefault="0091406C" w:rsidP="0091406C">
            <w:pPr>
              <w:rPr>
                <w:b/>
                <w:bCs/>
              </w:rPr>
            </w:pPr>
            <w:r w:rsidRPr="00533D11">
              <w:rPr>
                <w:b/>
                <w:bCs/>
              </w:rPr>
              <w:t>SECTION 908 COOLING TOWERS, EVAPORATIVE CONDENSERS, AND FLUID COOLERS</w:t>
            </w:r>
          </w:p>
          <w:p w14:paraId="3F23E210" w14:textId="77777777" w:rsidR="00533D11" w:rsidRDefault="00533D11" w:rsidP="0091406C">
            <w:pPr>
              <w:rPr>
                <w:b/>
                <w:bCs/>
              </w:rPr>
            </w:pPr>
          </w:p>
          <w:p w14:paraId="1D8BBA52" w14:textId="6494E50C" w:rsidR="0091406C" w:rsidRPr="00533D11" w:rsidRDefault="0091406C" w:rsidP="0091406C">
            <w:pPr>
              <w:rPr>
                <w:b/>
                <w:bCs/>
              </w:rPr>
            </w:pPr>
            <w:r w:rsidRPr="00533D11">
              <w:rPr>
                <w:b/>
                <w:bCs/>
              </w:rPr>
              <w:t>Section 908.8 Cooling Towers</w:t>
            </w:r>
          </w:p>
          <w:p w14:paraId="49D13499" w14:textId="4ABE7BCA" w:rsidR="0091406C" w:rsidRDefault="0091406C" w:rsidP="0091406C">
            <w:r>
              <w:t>Cooling towers, both open-circuit and closed-circuit type, and evaporative condensers shall</w:t>
            </w:r>
            <w:r w:rsidR="00F773AC">
              <w:t xml:space="preserve"> </w:t>
            </w:r>
            <w:r>
              <w:t>comply with Sections 908.8.1 and 908.8.2 through 908.8.3.</w:t>
            </w:r>
          </w:p>
          <w:p w14:paraId="02D9AD95" w14:textId="0FDC3D82" w:rsidR="0091406C" w:rsidRDefault="0091406C" w:rsidP="00533D11">
            <w:pPr>
              <w:ind w:left="720"/>
            </w:pPr>
            <w:r w:rsidRPr="00533D11">
              <w:rPr>
                <w:b/>
                <w:bCs/>
                <w:u w:val="single"/>
              </w:rPr>
              <w:lastRenderedPageBreak/>
              <w:t>Exception</w:t>
            </w:r>
            <w:r w:rsidRPr="00533D11">
              <w:rPr>
                <w:u w:val="single"/>
              </w:rPr>
              <w:t>: Cooling water tower systems utilizing reclaimed water for the total amount of</w:t>
            </w:r>
            <w:r w:rsidR="00F773AC">
              <w:rPr>
                <w:u w:val="single"/>
              </w:rPr>
              <w:t xml:space="preserve"> </w:t>
            </w:r>
            <w:r w:rsidRPr="00533D11">
              <w:rPr>
                <w:u w:val="single"/>
              </w:rPr>
              <w:t>makeup water are exempt from the provisions of Sections 908.8.1 through 908.8.3 Florida</w:t>
            </w:r>
            <w:r w:rsidR="00F773AC">
              <w:rPr>
                <w:u w:val="single"/>
              </w:rPr>
              <w:t xml:space="preserve"> </w:t>
            </w:r>
            <w:r w:rsidRPr="00533D11">
              <w:rPr>
                <w:u w:val="single"/>
              </w:rPr>
              <w:t>Building Code</w:t>
            </w:r>
            <w:r>
              <w:t>.</w:t>
            </w:r>
          </w:p>
          <w:p w14:paraId="62C82510" w14:textId="77777777" w:rsidR="00533D11" w:rsidRDefault="00533D11" w:rsidP="00533D11">
            <w:pPr>
              <w:ind w:left="720"/>
            </w:pPr>
          </w:p>
          <w:p w14:paraId="73E4D836" w14:textId="5EA45E72" w:rsidR="0091406C" w:rsidRDefault="0091406C" w:rsidP="00533D11">
            <w:pPr>
              <w:ind w:left="720"/>
            </w:pPr>
            <w:r>
              <w:t xml:space="preserve">Section 908.8.1 </w:t>
            </w:r>
            <w:r w:rsidRPr="00533D11">
              <w:rPr>
                <w:b/>
                <w:bCs/>
              </w:rPr>
              <w:t xml:space="preserve">Conductivity </w:t>
            </w:r>
            <w:proofErr w:type="gramStart"/>
            <w:r w:rsidRPr="00533D11">
              <w:rPr>
                <w:b/>
                <w:bCs/>
                <w:strike/>
              </w:rPr>
              <w:t>or</w:t>
            </w:r>
            <w:r w:rsidRPr="00533D11">
              <w:rPr>
                <w:b/>
                <w:bCs/>
              </w:rPr>
              <w:t xml:space="preserve"> </w:t>
            </w:r>
            <w:r w:rsidRPr="00533D11">
              <w:rPr>
                <w:b/>
                <w:bCs/>
                <w:u w:val="single"/>
              </w:rPr>
              <w:t>and</w:t>
            </w:r>
            <w:proofErr w:type="gramEnd"/>
            <w:r w:rsidRPr="00533D11">
              <w:rPr>
                <w:b/>
                <w:bCs/>
              </w:rPr>
              <w:t xml:space="preserve"> flow-based control of cycles of concentration</w:t>
            </w:r>
            <w:r>
              <w:t>.</w:t>
            </w:r>
          </w:p>
          <w:p w14:paraId="48A0F3BC" w14:textId="2A867FA0" w:rsidR="0091406C" w:rsidRDefault="0091406C" w:rsidP="00533D11">
            <w:pPr>
              <w:ind w:left="720"/>
            </w:pPr>
            <w:r w:rsidRPr="00533D11">
              <w:rPr>
                <w:strike/>
              </w:rPr>
              <w:t>Cooling towers and evaporative condensers shall include controls that automate system</w:t>
            </w:r>
            <w:r w:rsidR="00F773AC">
              <w:rPr>
                <w:strike/>
              </w:rPr>
              <w:t xml:space="preserve"> </w:t>
            </w:r>
            <w:r w:rsidRPr="00533D11">
              <w:rPr>
                <w:strike/>
              </w:rPr>
              <w:t>bleed based on conductivity, fraction of metered makeup volume, metered bleed volume,</w:t>
            </w:r>
            <w:r w:rsidR="00F773AC">
              <w:rPr>
                <w:strike/>
              </w:rPr>
              <w:t xml:space="preserve"> </w:t>
            </w:r>
            <w:r w:rsidRPr="00533D11">
              <w:rPr>
                <w:strike/>
              </w:rPr>
              <w:t>recirculating pump run time, or bleed time</w:t>
            </w:r>
            <w:r>
              <w:t xml:space="preserve">. </w:t>
            </w:r>
            <w:r w:rsidRPr="00533D11">
              <w:rPr>
                <w:u w:val="single"/>
              </w:rPr>
              <w:t>New cooling towers, and evaporative</w:t>
            </w:r>
            <w:r w:rsidR="00F773AC">
              <w:rPr>
                <w:u w:val="single"/>
              </w:rPr>
              <w:t xml:space="preserve"> </w:t>
            </w:r>
            <w:r w:rsidRPr="00533D11">
              <w:rPr>
                <w:u w:val="single"/>
              </w:rPr>
              <w:t>condensers, including replacements, shall be operated with conductivity controllers, as</w:t>
            </w:r>
            <w:r w:rsidR="00F773AC">
              <w:rPr>
                <w:u w:val="single"/>
              </w:rPr>
              <w:t xml:space="preserve"> </w:t>
            </w:r>
            <w:r w:rsidRPr="00533D11">
              <w:rPr>
                <w:u w:val="single"/>
              </w:rPr>
              <w:t xml:space="preserve">well </w:t>
            </w:r>
            <w:proofErr w:type="gramStart"/>
            <w:r w:rsidRPr="00533D11">
              <w:rPr>
                <w:u w:val="single"/>
              </w:rPr>
              <w:t>as</w:t>
            </w:r>
            <w:r w:rsidR="00F773AC">
              <w:rPr>
                <w:u w:val="single"/>
              </w:rPr>
              <w:t>,</w:t>
            </w:r>
            <w:proofErr w:type="gramEnd"/>
            <w:r w:rsidRPr="00533D11">
              <w:rPr>
                <w:u w:val="single"/>
              </w:rPr>
              <w:t xml:space="preserve"> make-up and blowdown (bleed off) meters, and shall achieve a minimum of 8</w:t>
            </w:r>
            <w:r w:rsidR="00F773AC">
              <w:rPr>
                <w:u w:val="single"/>
              </w:rPr>
              <w:t xml:space="preserve"> </w:t>
            </w:r>
            <w:r w:rsidRPr="00533D11">
              <w:rPr>
                <w:u w:val="single"/>
              </w:rPr>
              <w:t>cycles of concentration.</w:t>
            </w:r>
          </w:p>
          <w:p w14:paraId="212680D7" w14:textId="77777777" w:rsidR="00533D11" w:rsidRDefault="00533D11" w:rsidP="00533D11">
            <w:pPr>
              <w:ind w:left="720"/>
            </w:pPr>
          </w:p>
          <w:p w14:paraId="61B346EA" w14:textId="77777777" w:rsidR="0091406C" w:rsidRDefault="0091406C" w:rsidP="00533D11">
            <w:pPr>
              <w:ind w:left="720"/>
            </w:pPr>
            <w:r w:rsidRPr="00533D11">
              <w:rPr>
                <w:b/>
                <w:bCs/>
              </w:rPr>
              <w:t>Section 908.8.2 Drift eliminators.</w:t>
            </w:r>
            <w:r>
              <w:t xml:space="preserve"> Cooling towers and evaporative condensers shall be</w:t>
            </w:r>
          </w:p>
          <w:p w14:paraId="5F7989A5" w14:textId="182469B6" w:rsidR="0091406C" w:rsidRDefault="0091406C" w:rsidP="00533D11">
            <w:pPr>
              <w:ind w:left="720"/>
            </w:pPr>
            <w:r>
              <w:t xml:space="preserve">equipped with drift eliminators that have a maximum drift rate of </w:t>
            </w:r>
            <w:r w:rsidRPr="00533D11">
              <w:rPr>
                <w:strike/>
              </w:rPr>
              <w:t>0.005 percent of the</w:t>
            </w:r>
            <w:r w:rsidR="00F773AC">
              <w:rPr>
                <w:strike/>
              </w:rPr>
              <w:t xml:space="preserve"> </w:t>
            </w:r>
            <w:r w:rsidRPr="00533D11">
              <w:rPr>
                <w:strike/>
              </w:rPr>
              <w:t>circulated water flow rate as established in the equipment’s design specifications</w:t>
            </w:r>
            <w:r w:rsidR="00F773AC">
              <w:rPr>
                <w:strike/>
              </w:rPr>
              <w:t xml:space="preserve"> </w:t>
            </w:r>
            <w:r w:rsidRPr="00533D11">
              <w:rPr>
                <w:u w:val="single"/>
              </w:rPr>
              <w:t>0.002% of the recirculated water volume for counterflow towers and 0.005% of the</w:t>
            </w:r>
            <w:r w:rsidR="00F773AC">
              <w:rPr>
                <w:u w:val="single"/>
              </w:rPr>
              <w:t xml:space="preserve"> </w:t>
            </w:r>
            <w:r w:rsidRPr="00533D11">
              <w:rPr>
                <w:u w:val="single"/>
              </w:rPr>
              <w:t>recirculated water flow for crossflow towers</w:t>
            </w:r>
            <w:r>
              <w:t>.</w:t>
            </w:r>
          </w:p>
          <w:p w14:paraId="1D6C52A0" w14:textId="77777777" w:rsidR="00533D11" w:rsidRDefault="00533D11" w:rsidP="00533D11">
            <w:pPr>
              <w:ind w:left="720"/>
            </w:pPr>
          </w:p>
          <w:p w14:paraId="54A2612C" w14:textId="77777777" w:rsidR="0091406C" w:rsidRPr="00533D11" w:rsidRDefault="0091406C" w:rsidP="00533D11">
            <w:pPr>
              <w:ind w:left="720"/>
              <w:rPr>
                <w:u w:val="single"/>
              </w:rPr>
            </w:pPr>
            <w:r w:rsidRPr="00533D11">
              <w:rPr>
                <w:b/>
                <w:bCs/>
                <w:u w:val="single"/>
              </w:rPr>
              <w:t>Section 908.8.3</w:t>
            </w:r>
            <w:r w:rsidRPr="00533D11">
              <w:rPr>
                <w:u w:val="single"/>
              </w:rPr>
              <w:t xml:space="preserve"> An affidavit of compliance demonstrating compliance with section</w:t>
            </w:r>
          </w:p>
          <w:p w14:paraId="547C3358" w14:textId="77777777" w:rsidR="00F773AC" w:rsidRDefault="00F773AC" w:rsidP="00533D11">
            <w:pPr>
              <w:ind w:left="720"/>
              <w:rPr>
                <w:u w:val="single"/>
              </w:rPr>
            </w:pPr>
          </w:p>
          <w:p w14:paraId="7476B3D7" w14:textId="22F2B7A6" w:rsidR="0091406C" w:rsidRPr="00533D11" w:rsidRDefault="0091406C" w:rsidP="00533D11">
            <w:pPr>
              <w:ind w:left="720"/>
              <w:rPr>
                <w:u w:val="single"/>
              </w:rPr>
            </w:pPr>
            <w:r w:rsidRPr="00F773AC">
              <w:rPr>
                <w:b/>
                <w:bCs/>
                <w:u w:val="single"/>
              </w:rPr>
              <w:t>908.8.1</w:t>
            </w:r>
            <w:r w:rsidRPr="00533D11">
              <w:rPr>
                <w:u w:val="single"/>
              </w:rPr>
              <w:t xml:space="preserve"> Florida Building Code, Mechanical, shall be submitted by the property</w:t>
            </w:r>
          </w:p>
          <w:p w14:paraId="46C8035B" w14:textId="128EBE4A" w:rsidR="00A74F42" w:rsidRPr="001F35EE" w:rsidRDefault="0091406C" w:rsidP="00F773AC">
            <w:pPr>
              <w:ind w:left="720"/>
            </w:pPr>
            <w:r w:rsidRPr="00533D11">
              <w:rPr>
                <w:u w:val="single"/>
              </w:rPr>
              <w:t>manager/owner to the local water provider every 12 months following system installation.</w:t>
            </w:r>
            <w:r w:rsidR="00F773AC">
              <w:rPr>
                <w:u w:val="single"/>
              </w:rPr>
              <w:t xml:space="preserve">  </w:t>
            </w:r>
            <w:r w:rsidRPr="00533D11">
              <w:rPr>
                <w:u w:val="single"/>
              </w:rPr>
              <w:t xml:space="preserve">The affidavit shall be signed by the service provider and </w:t>
            </w:r>
            <w:proofErr w:type="gramStart"/>
            <w:r w:rsidRPr="00533D11">
              <w:rPr>
                <w:u w:val="single"/>
              </w:rPr>
              <w:t>include</w:t>
            </w:r>
            <w:proofErr w:type="gramEnd"/>
            <w:r w:rsidRPr="00533D11">
              <w:rPr>
                <w:u w:val="single"/>
              </w:rPr>
              <w:t xml:space="preserve"> all dates of service</w:t>
            </w:r>
            <w:r w:rsidR="00F773AC">
              <w:rPr>
                <w:u w:val="single"/>
              </w:rPr>
              <w:t xml:space="preserve"> </w:t>
            </w:r>
            <w:r w:rsidRPr="00533D11">
              <w:rPr>
                <w:u w:val="single"/>
              </w:rPr>
              <w:t>within the reporting period and verified system operation at a minimum of 8 cycles of</w:t>
            </w:r>
            <w:r w:rsidR="00F773AC">
              <w:rPr>
                <w:u w:val="single"/>
              </w:rPr>
              <w:t xml:space="preserve"> </w:t>
            </w:r>
            <w:r w:rsidRPr="00533D11">
              <w:rPr>
                <w:u w:val="single"/>
              </w:rPr>
              <w:t>concentration</w:t>
            </w:r>
          </w:p>
        </w:tc>
        <w:tc>
          <w:tcPr>
            <w:tcW w:w="1795" w:type="dxa"/>
          </w:tcPr>
          <w:p w14:paraId="023581B2" w14:textId="77777777" w:rsidR="00A74F42" w:rsidRPr="001F35EE" w:rsidRDefault="00A74F42" w:rsidP="001F35EE"/>
        </w:tc>
      </w:tr>
      <w:tr w:rsidR="002331CA" w:rsidRPr="001F35EE" w14:paraId="289F2939" w14:textId="77777777" w:rsidTr="00D91E0F">
        <w:tc>
          <w:tcPr>
            <w:tcW w:w="1705" w:type="dxa"/>
            <w:shd w:val="clear" w:color="auto" w:fill="D0CECE" w:themeFill="background2" w:themeFillShade="E6"/>
          </w:tcPr>
          <w:p w14:paraId="2989226D" w14:textId="77777777" w:rsidR="00A74F42" w:rsidRPr="001F35EE" w:rsidRDefault="00A74F42" w:rsidP="001F35EE"/>
        </w:tc>
        <w:tc>
          <w:tcPr>
            <w:tcW w:w="5040" w:type="dxa"/>
            <w:shd w:val="clear" w:color="auto" w:fill="D0CECE" w:themeFill="background2" w:themeFillShade="E6"/>
            <w:tcMar>
              <w:left w:w="115" w:type="dxa"/>
              <w:right w:w="115" w:type="dxa"/>
            </w:tcMar>
          </w:tcPr>
          <w:p w14:paraId="0CFA6B3E" w14:textId="77777777" w:rsidR="00A74F42" w:rsidRPr="001F35EE" w:rsidRDefault="00A74F42" w:rsidP="001F35EE"/>
        </w:tc>
        <w:tc>
          <w:tcPr>
            <w:tcW w:w="5850" w:type="dxa"/>
            <w:shd w:val="clear" w:color="auto" w:fill="D0CECE" w:themeFill="background2" w:themeFillShade="E6"/>
          </w:tcPr>
          <w:p w14:paraId="7DF0F379" w14:textId="77777777" w:rsidR="00A74F42" w:rsidRPr="001F35EE" w:rsidRDefault="00A74F42" w:rsidP="001F35EE"/>
        </w:tc>
        <w:tc>
          <w:tcPr>
            <w:tcW w:w="1795" w:type="dxa"/>
            <w:shd w:val="clear" w:color="auto" w:fill="D0CECE" w:themeFill="background2" w:themeFillShade="E6"/>
          </w:tcPr>
          <w:p w14:paraId="1FB973E0" w14:textId="77777777" w:rsidR="00A74F42" w:rsidRPr="001F35EE" w:rsidRDefault="00A74F42" w:rsidP="001F35EE"/>
        </w:tc>
      </w:tr>
      <w:tr w:rsidR="002331CA" w:rsidRPr="001F35EE" w14:paraId="22E13C6B" w14:textId="77777777" w:rsidTr="00CC39FB">
        <w:trPr>
          <w:cantSplit/>
          <w:trHeight w:val="1134"/>
        </w:trPr>
        <w:tc>
          <w:tcPr>
            <w:tcW w:w="1705" w:type="dxa"/>
          </w:tcPr>
          <w:p w14:paraId="7856E30A" w14:textId="5C9B799A" w:rsidR="00A74F42" w:rsidRPr="001F35EE" w:rsidRDefault="008221C7" w:rsidP="001F35EE">
            <w:r>
              <w:t>Pinellas County Construction Licensing Board (PCCLB)</w:t>
            </w:r>
          </w:p>
        </w:tc>
        <w:tc>
          <w:tcPr>
            <w:tcW w:w="5040" w:type="dxa"/>
            <w:tcMar>
              <w:left w:w="115" w:type="dxa"/>
              <w:right w:w="115" w:type="dxa"/>
            </w:tcMar>
          </w:tcPr>
          <w:p w14:paraId="6DD2984D" w14:textId="7AA5F3A7" w:rsidR="00CC39FB" w:rsidRPr="00CC39FB" w:rsidRDefault="00CC39FB" w:rsidP="00CC39FB">
            <w:pPr>
              <w:jc w:val="right"/>
              <w:rPr>
                <w:b/>
                <w:bCs/>
                <w:u w:val="single"/>
              </w:rPr>
            </w:pPr>
            <w:r w:rsidRPr="00CC39FB">
              <w:rPr>
                <w:b/>
                <w:bCs/>
                <w:highlight w:val="yellow"/>
                <w:u w:val="single"/>
              </w:rPr>
              <w:t>Residential</w:t>
            </w:r>
          </w:p>
          <w:p w14:paraId="34AC02DA" w14:textId="77777777" w:rsidR="00CC39FB" w:rsidRDefault="00CC39FB" w:rsidP="00CC39FB"/>
          <w:p w14:paraId="406798C4" w14:textId="182861F8" w:rsidR="00A74F42" w:rsidRDefault="00CC39FB" w:rsidP="00CC39FB">
            <w:hyperlink r:id="rId7" w:history="1">
              <w:r w:rsidRPr="00B1387F">
                <w:rPr>
                  <w:rStyle w:val="Hyperlink"/>
                </w:rPr>
                <w:t>https://floridabuilding.org/Upload/FBC/CodeID_7844_63fb_4.PC.RESIDENTIAL_M1411.3.pdf</w:t>
              </w:r>
            </w:hyperlink>
          </w:p>
          <w:p w14:paraId="3850DD49" w14:textId="652D3B5B" w:rsidR="00CC39FB" w:rsidRPr="001F35EE" w:rsidRDefault="00CC39FB" w:rsidP="00CC39FB"/>
        </w:tc>
        <w:tc>
          <w:tcPr>
            <w:tcW w:w="5850" w:type="dxa"/>
          </w:tcPr>
          <w:p w14:paraId="11460DAB" w14:textId="3B3AA472" w:rsidR="00A74F42" w:rsidRPr="001F35EE" w:rsidRDefault="008221C7" w:rsidP="001F35EE">
            <w:r w:rsidRPr="008221C7">
              <w:rPr>
                <w:b/>
                <w:bCs/>
              </w:rPr>
              <w:t>M1411.3 Condensate disposal</w:t>
            </w:r>
            <w:r w:rsidRPr="008221C7">
              <w:t xml:space="preserve">. Condensate from cooling coils and evaporators shall be conveyed from the drain pan outlet to an approved place of disposal. Such piping shall maintain a minimum horizontal slope in the direction of discharge of not less than 1/8 unit vertical in 12 units horizontal (1-percent slope). Condensate shall not </w:t>
            </w:r>
            <w:proofErr w:type="gramStart"/>
            <w:r w:rsidRPr="008221C7">
              <w:t>discharge</w:t>
            </w:r>
            <w:proofErr w:type="gramEnd"/>
            <w:r w:rsidRPr="008221C7">
              <w:t xml:space="preserve"> into a street, alley or other areas where it would cause a nuisance. </w:t>
            </w:r>
            <w:r w:rsidRPr="008221C7">
              <w:rPr>
                <w:b/>
                <w:bCs/>
                <w:u w:val="single"/>
              </w:rPr>
              <w:t xml:space="preserve">All primary </w:t>
            </w:r>
            <w:proofErr w:type="gramStart"/>
            <w:r w:rsidRPr="008221C7">
              <w:rPr>
                <w:b/>
                <w:bCs/>
                <w:u w:val="single"/>
              </w:rPr>
              <w:t>condensate</w:t>
            </w:r>
            <w:proofErr w:type="gramEnd"/>
            <w:r w:rsidRPr="008221C7">
              <w:rPr>
                <w:b/>
                <w:bCs/>
                <w:u w:val="single"/>
              </w:rPr>
              <w:t xml:space="preserve"> drain lines installed within unconditioned areas shall be insulated with insulation having a thermal resistivity of not less than R-3.</w:t>
            </w:r>
          </w:p>
        </w:tc>
        <w:tc>
          <w:tcPr>
            <w:tcW w:w="1795" w:type="dxa"/>
          </w:tcPr>
          <w:p w14:paraId="47870BEC" w14:textId="77777777" w:rsidR="00A74F42" w:rsidRPr="001F35EE" w:rsidRDefault="00A74F42" w:rsidP="001F35EE"/>
        </w:tc>
      </w:tr>
    </w:tbl>
    <w:p w14:paraId="0F9342A6" w14:textId="6D4C00EC" w:rsidR="00071C1B" w:rsidRDefault="00071C1B"/>
    <w:tbl>
      <w:tblPr>
        <w:tblStyle w:val="TableGrid"/>
        <w:tblpPr w:leftFromText="180" w:rightFromText="180" w:vertAnchor="text" w:tblpY="1"/>
        <w:tblOverlap w:val="never"/>
        <w:tblW w:w="14390" w:type="dxa"/>
        <w:tblLayout w:type="fixed"/>
        <w:tblLook w:val="04A0" w:firstRow="1" w:lastRow="0" w:firstColumn="1" w:lastColumn="0" w:noHBand="0" w:noVBand="1"/>
      </w:tblPr>
      <w:tblGrid>
        <w:gridCol w:w="1705"/>
        <w:gridCol w:w="5040"/>
        <w:gridCol w:w="5850"/>
        <w:gridCol w:w="1795"/>
      </w:tblGrid>
      <w:tr w:rsidR="002331CA" w14:paraId="5D068F89" w14:textId="77777777" w:rsidTr="00D91E0F">
        <w:tc>
          <w:tcPr>
            <w:tcW w:w="1705" w:type="dxa"/>
            <w:shd w:val="clear" w:color="auto" w:fill="D0CECE" w:themeFill="background2" w:themeFillShade="E6"/>
          </w:tcPr>
          <w:p w14:paraId="0601D1CD" w14:textId="484B28E3" w:rsidR="00A74F42" w:rsidRDefault="00A74F42" w:rsidP="001F35EE"/>
        </w:tc>
        <w:tc>
          <w:tcPr>
            <w:tcW w:w="5040" w:type="dxa"/>
            <w:shd w:val="clear" w:color="auto" w:fill="D0CECE" w:themeFill="background2" w:themeFillShade="E6"/>
          </w:tcPr>
          <w:p w14:paraId="0EDA58A7" w14:textId="77777777" w:rsidR="00A74F42" w:rsidRDefault="00A74F42" w:rsidP="001F35EE"/>
        </w:tc>
        <w:tc>
          <w:tcPr>
            <w:tcW w:w="5850" w:type="dxa"/>
            <w:shd w:val="clear" w:color="auto" w:fill="D0CECE" w:themeFill="background2" w:themeFillShade="E6"/>
          </w:tcPr>
          <w:p w14:paraId="6987B477" w14:textId="77777777" w:rsidR="00A74F42" w:rsidRDefault="00A74F42" w:rsidP="001F35EE"/>
        </w:tc>
        <w:tc>
          <w:tcPr>
            <w:tcW w:w="1795" w:type="dxa"/>
            <w:shd w:val="clear" w:color="auto" w:fill="D0CECE" w:themeFill="background2" w:themeFillShade="E6"/>
          </w:tcPr>
          <w:p w14:paraId="1623231B" w14:textId="77777777" w:rsidR="00A74F42" w:rsidRDefault="00A74F42" w:rsidP="001F35EE"/>
        </w:tc>
      </w:tr>
      <w:tr w:rsidR="002331CA" w14:paraId="00C3B4D0" w14:textId="77777777" w:rsidTr="00D91E0F">
        <w:tc>
          <w:tcPr>
            <w:tcW w:w="1705" w:type="dxa"/>
          </w:tcPr>
          <w:p w14:paraId="78740600" w14:textId="77777777" w:rsidR="00A74F42" w:rsidRDefault="00A74F42" w:rsidP="001F35EE"/>
        </w:tc>
        <w:tc>
          <w:tcPr>
            <w:tcW w:w="5040" w:type="dxa"/>
          </w:tcPr>
          <w:p w14:paraId="16172331" w14:textId="77777777" w:rsidR="00A74F42" w:rsidRDefault="00A74F42" w:rsidP="001F35EE"/>
        </w:tc>
        <w:tc>
          <w:tcPr>
            <w:tcW w:w="5850" w:type="dxa"/>
          </w:tcPr>
          <w:p w14:paraId="10ADC594" w14:textId="77777777" w:rsidR="00A74F42" w:rsidRDefault="00A74F42" w:rsidP="001F35EE"/>
        </w:tc>
        <w:tc>
          <w:tcPr>
            <w:tcW w:w="1795" w:type="dxa"/>
          </w:tcPr>
          <w:p w14:paraId="758169C6" w14:textId="77777777" w:rsidR="00A74F42" w:rsidRDefault="00A74F42" w:rsidP="001F35EE"/>
        </w:tc>
      </w:tr>
      <w:tr w:rsidR="002331CA" w14:paraId="6A2A3427" w14:textId="77777777" w:rsidTr="00D91E0F">
        <w:tc>
          <w:tcPr>
            <w:tcW w:w="1705" w:type="dxa"/>
          </w:tcPr>
          <w:p w14:paraId="1D534961" w14:textId="77777777" w:rsidR="00A74F42" w:rsidRDefault="00A74F42" w:rsidP="001F35EE"/>
        </w:tc>
        <w:tc>
          <w:tcPr>
            <w:tcW w:w="5040" w:type="dxa"/>
          </w:tcPr>
          <w:p w14:paraId="1F32DC51" w14:textId="77777777" w:rsidR="00A74F42" w:rsidRDefault="00A74F42" w:rsidP="001F35EE"/>
        </w:tc>
        <w:tc>
          <w:tcPr>
            <w:tcW w:w="5850" w:type="dxa"/>
          </w:tcPr>
          <w:p w14:paraId="7D3ACD3D" w14:textId="77777777" w:rsidR="00A74F42" w:rsidRDefault="00A74F42" w:rsidP="001F35EE"/>
        </w:tc>
        <w:tc>
          <w:tcPr>
            <w:tcW w:w="1795" w:type="dxa"/>
          </w:tcPr>
          <w:p w14:paraId="53E097BE" w14:textId="77777777" w:rsidR="00A74F42" w:rsidRDefault="00A74F42" w:rsidP="001F35EE"/>
        </w:tc>
      </w:tr>
    </w:tbl>
    <w:p w14:paraId="5B60961E" w14:textId="564493DE" w:rsidR="00A70164" w:rsidRDefault="00A74F42">
      <w:r>
        <w:tab/>
      </w:r>
    </w:p>
    <w:sectPr w:rsidR="00A70164" w:rsidSect="00530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405DA" w14:textId="77777777" w:rsidR="00B82F9C" w:rsidRDefault="00B82F9C" w:rsidP="00B82F9C">
      <w:pPr>
        <w:spacing w:after="0" w:line="240" w:lineRule="auto"/>
      </w:pPr>
      <w:r>
        <w:separator/>
      </w:r>
    </w:p>
  </w:endnote>
  <w:endnote w:type="continuationSeparator" w:id="0">
    <w:p w14:paraId="2DF9E5D3" w14:textId="77777777" w:rsidR="00B82F9C" w:rsidRDefault="00B82F9C" w:rsidP="00B8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D6EF3" w14:textId="77777777" w:rsidR="00B82F9C" w:rsidRDefault="00B82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3032611"/>
      <w:docPartObj>
        <w:docPartGallery w:val="Page Numbers (Bottom of Page)"/>
        <w:docPartUnique/>
      </w:docPartObj>
    </w:sdtPr>
    <w:sdtContent>
      <w:p w14:paraId="6A97F115" w14:textId="0273CA8C" w:rsidR="00B82F9C" w:rsidRDefault="00B82F9C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C53277C" w14:textId="77777777" w:rsidR="00B82F9C" w:rsidRDefault="00B82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DC6A" w14:textId="77777777" w:rsidR="00B82F9C" w:rsidRDefault="00B82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00A44" w14:textId="77777777" w:rsidR="00B82F9C" w:rsidRDefault="00B82F9C" w:rsidP="00B82F9C">
      <w:pPr>
        <w:spacing w:after="0" w:line="240" w:lineRule="auto"/>
      </w:pPr>
      <w:r>
        <w:separator/>
      </w:r>
    </w:p>
  </w:footnote>
  <w:footnote w:type="continuationSeparator" w:id="0">
    <w:p w14:paraId="08BA5C6B" w14:textId="77777777" w:rsidR="00B82F9C" w:rsidRDefault="00B82F9C" w:rsidP="00B8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708F" w14:textId="77777777" w:rsidR="00B82F9C" w:rsidRDefault="00B82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E176E" w14:textId="77777777" w:rsidR="00B82F9C" w:rsidRDefault="00B82F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9E67A" w14:textId="77777777" w:rsidR="00B82F9C" w:rsidRDefault="00B82F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3B"/>
    <w:rsid w:val="00071C1B"/>
    <w:rsid w:val="00170830"/>
    <w:rsid w:val="0019481F"/>
    <w:rsid w:val="001A5E98"/>
    <w:rsid w:val="001F35EE"/>
    <w:rsid w:val="002331CA"/>
    <w:rsid w:val="002F5824"/>
    <w:rsid w:val="0033158B"/>
    <w:rsid w:val="00376A8A"/>
    <w:rsid w:val="003D35FE"/>
    <w:rsid w:val="00436AD2"/>
    <w:rsid w:val="00450D01"/>
    <w:rsid w:val="0053033B"/>
    <w:rsid w:val="00533D11"/>
    <w:rsid w:val="00550CB3"/>
    <w:rsid w:val="00644F99"/>
    <w:rsid w:val="006C41DF"/>
    <w:rsid w:val="006C507E"/>
    <w:rsid w:val="0072242A"/>
    <w:rsid w:val="007A30EE"/>
    <w:rsid w:val="008221C7"/>
    <w:rsid w:val="008855B4"/>
    <w:rsid w:val="008A65BF"/>
    <w:rsid w:val="008D66A3"/>
    <w:rsid w:val="0091406C"/>
    <w:rsid w:val="00930D65"/>
    <w:rsid w:val="009B568F"/>
    <w:rsid w:val="00A70164"/>
    <w:rsid w:val="00A74F42"/>
    <w:rsid w:val="00B27902"/>
    <w:rsid w:val="00B82F9C"/>
    <w:rsid w:val="00CC39FB"/>
    <w:rsid w:val="00D244FA"/>
    <w:rsid w:val="00D561BB"/>
    <w:rsid w:val="00D91E0F"/>
    <w:rsid w:val="00DC3D0C"/>
    <w:rsid w:val="00DC4034"/>
    <w:rsid w:val="00E9557F"/>
    <w:rsid w:val="00F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26DF"/>
  <w15:chartTrackingRefBased/>
  <w15:docId w15:val="{28F4CB04-23FB-45B8-AD41-399A8E0D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3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3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3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3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3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3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3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3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3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3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3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3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3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3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D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66A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9C"/>
  </w:style>
  <w:style w:type="paragraph" w:styleId="Footer">
    <w:name w:val="footer"/>
    <w:basedOn w:val="Normal"/>
    <w:link w:val="FooterChar"/>
    <w:uiPriority w:val="99"/>
    <w:unhideWhenUsed/>
    <w:rsid w:val="00B8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floridabuilding.org/Upload/FBC/CodeID_7844_63fb_4.PC.RESIDENTIAL_M1411.3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oridabuilding.org/Upload/FBC/CodeID_7786_b6c3_Brwoard%20Cnty%20Local%20Amends%208th%20Ed%202023%20FBC%20MECHANICAL%20Ch%203-Ch9%20-Ch%2015-2023-12-29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Marlita</dc:creator>
  <cp:keywords/>
  <dc:description/>
  <cp:lastModifiedBy>Peters, Marlita</cp:lastModifiedBy>
  <cp:revision>2</cp:revision>
  <dcterms:created xsi:type="dcterms:W3CDTF">2025-04-17T21:30:00Z</dcterms:created>
  <dcterms:modified xsi:type="dcterms:W3CDTF">2025-04-17T21:30:00Z</dcterms:modified>
</cp:coreProperties>
</file>