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1833"/>
        <w:gridCol w:w="9367"/>
        <w:gridCol w:w="1121"/>
      </w:tblGrid>
      <w:tr w:rsidR="00156DFF" w:rsidTr="00156DFF">
        <w:tc>
          <w:tcPr>
            <w:tcW w:w="13518" w:type="dxa"/>
            <w:gridSpan w:val="4"/>
          </w:tcPr>
          <w:p w:rsidR="00156DFF" w:rsidRDefault="00156DFF" w:rsidP="00156DFF">
            <w:pPr>
              <w:jc w:val="center"/>
              <w:rPr>
                <w:b/>
                <w:sz w:val="32"/>
                <w:szCs w:val="32"/>
              </w:rPr>
            </w:pPr>
            <w:r w:rsidRPr="00156DFF">
              <w:rPr>
                <w:b/>
                <w:sz w:val="32"/>
                <w:szCs w:val="32"/>
              </w:rPr>
              <w:t>ROOFING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Technical Amendments to the</w:t>
            </w:r>
          </w:p>
          <w:p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2020 7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:rsidTr="00156DFF">
        <w:tc>
          <w:tcPr>
            <w:tcW w:w="1843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7560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2250" w:type="dxa"/>
            <w:shd w:val="clear" w:color="auto" w:fill="A6A6A6" w:themeFill="background1" w:themeFillShade="A6"/>
          </w:tcPr>
          <w:p w:rsidR="00156DFF" w:rsidRDefault="00156DFF"/>
        </w:tc>
      </w:tr>
      <w:tr w:rsidR="00156DFF" w:rsidTr="00156DFF">
        <w:tc>
          <w:tcPr>
            <w:tcW w:w="1843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AMENDMENT</w:t>
            </w:r>
          </w:p>
        </w:tc>
        <w:tc>
          <w:tcPr>
            <w:tcW w:w="756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OF TECHNICAL AMENDMENT</w:t>
            </w:r>
          </w:p>
        </w:tc>
        <w:tc>
          <w:tcPr>
            <w:tcW w:w="225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rPr>
          <w:trHeight w:val="350"/>
        </w:trPr>
        <w:tc>
          <w:tcPr>
            <w:tcW w:w="1843" w:type="dxa"/>
            <w:vAlign w:val="center"/>
          </w:tcPr>
          <w:p w:rsidR="00156DFF" w:rsidRDefault="00156DFF" w:rsidP="00156DFF">
            <w:pPr>
              <w:jc w:val="center"/>
            </w:pPr>
            <w:r>
              <w:t>Pinellas County Construction Industry Licensing Board</w:t>
            </w:r>
          </w:p>
          <w:p w:rsidR="00156DFF" w:rsidRDefault="00156DFF" w:rsidP="00156DFF">
            <w:pPr>
              <w:jc w:val="center"/>
            </w:pPr>
            <w:r>
              <w:t>(PCCLB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</w:pPr>
            <w:r>
              <w:t>FBC – Building</w:t>
            </w:r>
          </w:p>
          <w:p w:rsidR="00156DFF" w:rsidRDefault="00CF630B" w:rsidP="00156DFF">
            <w:pPr>
              <w:jc w:val="center"/>
            </w:pPr>
            <w:r>
              <w:t xml:space="preserve">Sec </w:t>
            </w:r>
            <w:r w:rsidR="00156DFF">
              <w:t>1510.10</w:t>
            </w:r>
          </w:p>
        </w:tc>
        <w:tc>
          <w:tcPr>
            <w:tcW w:w="7560" w:type="dxa"/>
            <w:vAlign w:val="center"/>
          </w:tcPr>
          <w:p w:rsidR="00CF630B" w:rsidRDefault="00CF630B" w:rsidP="00CF630B">
            <w:r>
              <w:t xml:space="preserve">Section </w:t>
            </w:r>
            <w:r w:rsidR="00156DFF">
              <w:t xml:space="preserve">1510.10 </w:t>
            </w:r>
            <w:r>
              <w:t>– amendment to require that all roof mounted mechanical units comply with the code section upon reroofing the building.</w:t>
            </w:r>
          </w:p>
          <w:p w:rsidR="00156DFF" w:rsidRDefault="00156DFF" w:rsidP="00156DFF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vAlign w:val="center"/>
          </w:tcPr>
          <w:p w:rsidR="00156DFF" w:rsidRDefault="00AF2974" w:rsidP="00156DFF">
            <w:pPr>
              <w:jc w:val="center"/>
            </w:pPr>
            <w:proofErr w:type="spellStart"/>
            <w:r>
              <w:t>Batts</w:t>
            </w:r>
            <w:proofErr w:type="spellEnd"/>
            <w:r>
              <w:t xml:space="preserve"> to Deny  2</w:t>
            </w:r>
            <w:r w:rsidRPr="006519CF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Oyola</w:t>
            </w:r>
            <w:proofErr w:type="spellEnd"/>
            <w:r>
              <w:t xml:space="preserve"> VOTE:10 Yes – 0 No</w:t>
            </w:r>
            <w:bookmarkStart w:id="0" w:name="_GoBack"/>
            <w:bookmarkEnd w:id="0"/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c>
          <w:tcPr>
            <w:tcW w:w="1843" w:type="dxa"/>
          </w:tcPr>
          <w:p w:rsidR="00156DFF" w:rsidRDefault="00156DFF"/>
        </w:tc>
        <w:tc>
          <w:tcPr>
            <w:tcW w:w="1865" w:type="dxa"/>
          </w:tcPr>
          <w:p w:rsidR="00156DFF" w:rsidRDefault="00156DFF"/>
        </w:tc>
        <w:tc>
          <w:tcPr>
            <w:tcW w:w="7560" w:type="dxa"/>
          </w:tcPr>
          <w:p w:rsidR="00156DFF" w:rsidRDefault="00156DFF"/>
        </w:tc>
        <w:tc>
          <w:tcPr>
            <w:tcW w:w="2250" w:type="dxa"/>
          </w:tcPr>
          <w:p w:rsidR="00156DFF" w:rsidRDefault="00156DFF"/>
        </w:tc>
      </w:tr>
      <w:tr w:rsidR="00914E63" w:rsidTr="00156DFF">
        <w:tc>
          <w:tcPr>
            <w:tcW w:w="1843" w:type="dxa"/>
          </w:tcPr>
          <w:p w:rsidR="00914E63" w:rsidRDefault="00914E63"/>
        </w:tc>
        <w:tc>
          <w:tcPr>
            <w:tcW w:w="1865" w:type="dxa"/>
          </w:tcPr>
          <w:p w:rsidR="00914E63" w:rsidRDefault="00914E63"/>
        </w:tc>
        <w:tc>
          <w:tcPr>
            <w:tcW w:w="7560" w:type="dxa"/>
          </w:tcPr>
          <w:p w:rsidR="00914E63" w:rsidRDefault="00914E63" w:rsidP="00914E63">
            <w:r>
              <w:t xml:space="preserve">1510.10 Mechanical Units. </w:t>
            </w:r>
          </w:p>
          <w:p w:rsidR="00914E63" w:rsidRDefault="00914E63" w:rsidP="00914E63">
            <w:r>
              <w:t xml:space="preserve">Roof mounted mechanical units shall be mounted on curbs raised a minimum of 8 inches (203 mm) above the roof surface, or where roofing materials extend beneath the unit, on raised equipment supports providing a minimum clearance height in accordance with Table 1510.10. </w:t>
            </w:r>
          </w:p>
          <w:p w:rsidR="00914E63" w:rsidRDefault="00914E63" w:rsidP="00914E63">
            <w:r>
              <w:t>Exception: In buildings where the existing rooftop equipment, in the opinion of the building official, provides sufficient clearance to repair, recover, replace and/or maintain the roofing system or any of its components, such existing equipment need not comply with Table 1510.10.</w:t>
            </w:r>
          </w:p>
          <w:p w:rsidR="00914E63" w:rsidRDefault="00914E63" w:rsidP="00914E63"/>
          <w:p w:rsidR="00914E63" w:rsidRDefault="00914E63" w:rsidP="00914E63">
            <w:r w:rsidRPr="00914E63">
              <w:rPr>
                <w:noProof/>
              </w:rPr>
              <w:lastRenderedPageBreak/>
              <w:drawing>
                <wp:inline distT="0" distB="0" distL="0" distR="0" wp14:anchorId="378965A0" wp14:editId="2D0C6E1D">
                  <wp:extent cx="5087060" cy="1962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060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E63" w:rsidRDefault="00914E63" w:rsidP="00914E63"/>
          <w:p w:rsidR="00914E63" w:rsidRDefault="00914E63" w:rsidP="00914E63">
            <w:r w:rsidRPr="00914E63">
              <w:rPr>
                <w:noProof/>
              </w:rPr>
              <w:drawing>
                <wp:inline distT="0" distB="0" distL="0" distR="0" wp14:anchorId="4DCBA5CE" wp14:editId="02AEC543">
                  <wp:extent cx="5811061" cy="3000794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1" cy="300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914E63" w:rsidRDefault="00914E63"/>
        </w:tc>
      </w:tr>
    </w:tbl>
    <w:p w:rsidR="00D75FD0" w:rsidRDefault="00AF2974"/>
    <w:sectPr w:rsidR="00D75FD0" w:rsidSect="00156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F"/>
    <w:rsid w:val="00156DFF"/>
    <w:rsid w:val="0058063D"/>
    <w:rsid w:val="007A237E"/>
    <w:rsid w:val="00914E63"/>
    <w:rsid w:val="00AF2974"/>
    <w:rsid w:val="00CF630B"/>
    <w:rsid w:val="00DB3B22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2022-06-20T21:05:00Z</dcterms:created>
  <dcterms:modified xsi:type="dcterms:W3CDTF">2022-06-20T21:05:00Z</dcterms:modified>
</cp:coreProperties>
</file>