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580"/>
        <w:gridCol w:w="1869"/>
        <w:gridCol w:w="6790"/>
        <w:gridCol w:w="2937"/>
      </w:tblGrid>
      <w:tr w:rsidR="003B6EFE" w:rsidTr="00D635F6">
        <w:tc>
          <w:tcPr>
            <w:tcW w:w="13176" w:type="dxa"/>
            <w:gridSpan w:val="4"/>
          </w:tcPr>
          <w:p w:rsidR="003B6EFE" w:rsidRDefault="00013176" w:rsidP="003B6EFE">
            <w:pPr>
              <w:jc w:val="center"/>
              <w:rPr>
                <w:b/>
                <w:sz w:val="28"/>
                <w:szCs w:val="28"/>
              </w:rPr>
            </w:pPr>
            <w:r>
              <w:rPr>
                <w:b/>
                <w:sz w:val="28"/>
                <w:szCs w:val="28"/>
              </w:rPr>
              <w:t>ELECTRICAL</w:t>
            </w:r>
          </w:p>
          <w:p w:rsidR="003B6EFE" w:rsidRDefault="003B6EFE" w:rsidP="003B6EFE">
            <w:pPr>
              <w:jc w:val="center"/>
              <w:rPr>
                <w:b/>
                <w:sz w:val="20"/>
                <w:szCs w:val="20"/>
              </w:rPr>
            </w:pPr>
            <w:r>
              <w:rPr>
                <w:b/>
                <w:sz w:val="20"/>
                <w:szCs w:val="20"/>
              </w:rPr>
              <w:t>TAC ACTION/Votes</w:t>
            </w:r>
          </w:p>
          <w:p w:rsidR="003B6EFE" w:rsidRDefault="003B6EFE" w:rsidP="003B6EFE">
            <w:pPr>
              <w:jc w:val="center"/>
              <w:rPr>
                <w:b/>
                <w:sz w:val="20"/>
                <w:szCs w:val="20"/>
              </w:rPr>
            </w:pPr>
            <w:r>
              <w:rPr>
                <w:b/>
                <w:sz w:val="20"/>
                <w:szCs w:val="20"/>
              </w:rPr>
              <w:t>Local Technical amendments</w:t>
            </w:r>
          </w:p>
          <w:p w:rsidR="003B6EFE" w:rsidRDefault="003B6EFE" w:rsidP="003B6EFE">
            <w:pPr>
              <w:jc w:val="center"/>
              <w:rPr>
                <w:b/>
                <w:sz w:val="20"/>
                <w:szCs w:val="20"/>
              </w:rPr>
            </w:pPr>
            <w:r>
              <w:rPr>
                <w:b/>
                <w:sz w:val="20"/>
                <w:szCs w:val="20"/>
              </w:rPr>
              <w:t>to the</w:t>
            </w:r>
          </w:p>
          <w:p w:rsidR="003B6EFE" w:rsidRPr="003B6EFE" w:rsidRDefault="003B6EFE" w:rsidP="003B6EFE">
            <w:pPr>
              <w:jc w:val="center"/>
              <w:rPr>
                <w:sz w:val="20"/>
                <w:szCs w:val="20"/>
              </w:rPr>
            </w:pPr>
            <w:r>
              <w:rPr>
                <w:b/>
                <w:sz w:val="20"/>
                <w:szCs w:val="20"/>
              </w:rPr>
              <w:t>2020 7</w:t>
            </w:r>
            <w:r w:rsidRPr="003B6EFE">
              <w:rPr>
                <w:b/>
                <w:sz w:val="20"/>
                <w:szCs w:val="20"/>
                <w:vertAlign w:val="superscript"/>
              </w:rPr>
              <w:t>th</w:t>
            </w:r>
            <w:r>
              <w:rPr>
                <w:b/>
                <w:sz w:val="20"/>
                <w:szCs w:val="20"/>
              </w:rPr>
              <w:t xml:space="preserve"> Edition Florida Building Code</w:t>
            </w:r>
          </w:p>
        </w:tc>
      </w:tr>
      <w:tr w:rsidR="00F15932" w:rsidTr="00D635F6">
        <w:trPr>
          <w:trHeight w:val="251"/>
        </w:trPr>
        <w:tc>
          <w:tcPr>
            <w:tcW w:w="1580" w:type="dxa"/>
            <w:shd w:val="clear" w:color="auto" w:fill="A6A6A6" w:themeFill="background1" w:themeFillShade="A6"/>
          </w:tcPr>
          <w:p w:rsidR="003B6EFE" w:rsidRPr="00F15932" w:rsidRDefault="003B6EFE">
            <w:pPr>
              <w:rPr>
                <w:sz w:val="16"/>
                <w:szCs w:val="16"/>
              </w:rPr>
            </w:pPr>
          </w:p>
        </w:tc>
        <w:tc>
          <w:tcPr>
            <w:tcW w:w="1869" w:type="dxa"/>
            <w:shd w:val="clear" w:color="auto" w:fill="A6A6A6" w:themeFill="background1" w:themeFillShade="A6"/>
          </w:tcPr>
          <w:p w:rsidR="003B6EFE" w:rsidRPr="00F15932" w:rsidRDefault="003B6EFE">
            <w:pPr>
              <w:rPr>
                <w:sz w:val="16"/>
                <w:szCs w:val="16"/>
              </w:rPr>
            </w:pPr>
          </w:p>
        </w:tc>
        <w:tc>
          <w:tcPr>
            <w:tcW w:w="6790" w:type="dxa"/>
            <w:shd w:val="clear" w:color="auto" w:fill="A6A6A6" w:themeFill="background1" w:themeFillShade="A6"/>
          </w:tcPr>
          <w:p w:rsidR="003B6EFE" w:rsidRPr="00F15932" w:rsidRDefault="003B6EFE">
            <w:pPr>
              <w:rPr>
                <w:sz w:val="16"/>
                <w:szCs w:val="16"/>
              </w:rPr>
            </w:pPr>
          </w:p>
        </w:tc>
        <w:tc>
          <w:tcPr>
            <w:tcW w:w="2937" w:type="dxa"/>
            <w:shd w:val="clear" w:color="auto" w:fill="A6A6A6" w:themeFill="background1" w:themeFillShade="A6"/>
          </w:tcPr>
          <w:p w:rsidR="003B6EFE" w:rsidRPr="00F15932" w:rsidRDefault="003B6EFE">
            <w:pPr>
              <w:rPr>
                <w:sz w:val="16"/>
                <w:szCs w:val="16"/>
              </w:rPr>
            </w:pPr>
          </w:p>
        </w:tc>
      </w:tr>
      <w:tr w:rsidR="003B6EFE" w:rsidTr="00D635F6">
        <w:trPr>
          <w:trHeight w:val="422"/>
        </w:trPr>
        <w:tc>
          <w:tcPr>
            <w:tcW w:w="1580" w:type="dxa"/>
            <w:vAlign w:val="center"/>
          </w:tcPr>
          <w:p w:rsidR="003B6EFE" w:rsidRPr="00E86950" w:rsidRDefault="003B6EFE" w:rsidP="003B6EFE">
            <w:pPr>
              <w:jc w:val="center"/>
              <w:rPr>
                <w:b/>
                <w:sz w:val="20"/>
                <w:szCs w:val="20"/>
              </w:rPr>
            </w:pPr>
            <w:r w:rsidRPr="00E86950">
              <w:rPr>
                <w:b/>
                <w:sz w:val="20"/>
                <w:szCs w:val="20"/>
              </w:rPr>
              <w:t>JURISDICTION</w:t>
            </w:r>
          </w:p>
        </w:tc>
        <w:tc>
          <w:tcPr>
            <w:tcW w:w="1869" w:type="dxa"/>
            <w:vAlign w:val="center"/>
          </w:tcPr>
          <w:p w:rsidR="003B6EFE" w:rsidRPr="00E86950" w:rsidRDefault="003B6EFE" w:rsidP="003B6EFE">
            <w:pPr>
              <w:jc w:val="center"/>
              <w:rPr>
                <w:b/>
              </w:rPr>
            </w:pPr>
            <w:r w:rsidRPr="00E86950">
              <w:rPr>
                <w:b/>
              </w:rPr>
              <w:t>DOCUMENT with TECHNICAL AMENDMENT</w:t>
            </w:r>
          </w:p>
        </w:tc>
        <w:tc>
          <w:tcPr>
            <w:tcW w:w="6790" w:type="dxa"/>
            <w:vAlign w:val="center"/>
          </w:tcPr>
          <w:p w:rsidR="003B6EFE" w:rsidRPr="00E86950" w:rsidRDefault="003B6EFE" w:rsidP="003B6EFE">
            <w:pPr>
              <w:jc w:val="center"/>
              <w:rPr>
                <w:b/>
              </w:rPr>
            </w:pPr>
            <w:r w:rsidRPr="00E86950">
              <w:rPr>
                <w:b/>
              </w:rPr>
              <w:t>SUMMARY OF TECHNICAL AMENDMENT</w:t>
            </w:r>
          </w:p>
        </w:tc>
        <w:tc>
          <w:tcPr>
            <w:tcW w:w="2937" w:type="dxa"/>
            <w:vAlign w:val="center"/>
          </w:tcPr>
          <w:p w:rsidR="003B6EFE" w:rsidRPr="00E86950" w:rsidRDefault="003B6EFE" w:rsidP="003B6EFE">
            <w:pPr>
              <w:jc w:val="center"/>
              <w:rPr>
                <w:b/>
              </w:rPr>
            </w:pPr>
            <w:r w:rsidRPr="00E86950">
              <w:rPr>
                <w:b/>
              </w:rPr>
              <w:t>TAC ACTION/VOTE</w:t>
            </w:r>
          </w:p>
        </w:tc>
      </w:tr>
      <w:tr w:rsidR="003B6EFE" w:rsidTr="00D635F6">
        <w:trPr>
          <w:trHeight w:val="170"/>
        </w:trPr>
        <w:tc>
          <w:tcPr>
            <w:tcW w:w="1580" w:type="dxa"/>
            <w:shd w:val="clear" w:color="auto" w:fill="A6A6A6" w:themeFill="background1" w:themeFillShade="A6"/>
            <w:vAlign w:val="center"/>
          </w:tcPr>
          <w:p w:rsidR="003B6EFE" w:rsidRPr="00F15932" w:rsidRDefault="003B6EFE" w:rsidP="003B6EFE">
            <w:pPr>
              <w:jc w:val="center"/>
              <w:rPr>
                <w:sz w:val="16"/>
                <w:szCs w:val="16"/>
              </w:rPr>
            </w:pPr>
          </w:p>
        </w:tc>
        <w:tc>
          <w:tcPr>
            <w:tcW w:w="1869" w:type="dxa"/>
            <w:shd w:val="clear" w:color="auto" w:fill="A6A6A6" w:themeFill="background1" w:themeFillShade="A6"/>
            <w:vAlign w:val="center"/>
          </w:tcPr>
          <w:p w:rsidR="003B6EFE" w:rsidRPr="00F15932" w:rsidRDefault="003B6EFE" w:rsidP="003B6EFE">
            <w:pPr>
              <w:jc w:val="center"/>
              <w:rPr>
                <w:sz w:val="16"/>
                <w:szCs w:val="16"/>
              </w:rPr>
            </w:pPr>
          </w:p>
        </w:tc>
        <w:tc>
          <w:tcPr>
            <w:tcW w:w="6790" w:type="dxa"/>
            <w:shd w:val="clear" w:color="auto" w:fill="A6A6A6" w:themeFill="background1" w:themeFillShade="A6"/>
            <w:vAlign w:val="center"/>
          </w:tcPr>
          <w:p w:rsidR="003B6EFE" w:rsidRPr="00F15932" w:rsidRDefault="003B6EFE" w:rsidP="003B6EFE">
            <w:pPr>
              <w:jc w:val="center"/>
              <w:rPr>
                <w:sz w:val="16"/>
                <w:szCs w:val="16"/>
              </w:rPr>
            </w:pPr>
          </w:p>
        </w:tc>
        <w:tc>
          <w:tcPr>
            <w:tcW w:w="2937" w:type="dxa"/>
            <w:shd w:val="clear" w:color="auto" w:fill="A6A6A6" w:themeFill="background1" w:themeFillShade="A6"/>
            <w:vAlign w:val="center"/>
          </w:tcPr>
          <w:p w:rsidR="003B6EFE" w:rsidRPr="00F15932" w:rsidRDefault="003B6EFE" w:rsidP="003B6EFE">
            <w:pPr>
              <w:jc w:val="center"/>
              <w:rPr>
                <w:sz w:val="16"/>
                <w:szCs w:val="16"/>
              </w:rPr>
            </w:pPr>
          </w:p>
        </w:tc>
      </w:tr>
      <w:tr w:rsidR="003B6EFE" w:rsidTr="00D635F6">
        <w:tc>
          <w:tcPr>
            <w:tcW w:w="1580" w:type="dxa"/>
            <w:vAlign w:val="center"/>
          </w:tcPr>
          <w:p w:rsidR="003B6EFE" w:rsidRPr="003B6EFE" w:rsidRDefault="000121C4" w:rsidP="002B0E65">
            <w:pPr>
              <w:jc w:val="center"/>
              <w:rPr>
                <w:sz w:val="20"/>
                <w:szCs w:val="20"/>
              </w:rPr>
            </w:pPr>
            <w:r>
              <w:rPr>
                <w:rFonts w:ascii="Calibri" w:hAnsi="Calibri" w:cs="Calibri"/>
                <w:sz w:val="20"/>
                <w:szCs w:val="20"/>
              </w:rPr>
              <w:t>Broward County</w:t>
            </w:r>
          </w:p>
        </w:tc>
        <w:tc>
          <w:tcPr>
            <w:tcW w:w="1869" w:type="dxa"/>
            <w:vAlign w:val="center"/>
          </w:tcPr>
          <w:p w:rsidR="003B6EFE" w:rsidRDefault="000121C4" w:rsidP="003B6EFE">
            <w:pPr>
              <w:jc w:val="center"/>
              <w:rPr>
                <w:sz w:val="20"/>
                <w:szCs w:val="20"/>
              </w:rPr>
            </w:pPr>
            <w:r>
              <w:rPr>
                <w:sz w:val="20"/>
                <w:szCs w:val="20"/>
              </w:rPr>
              <w:t>FBC – Building Ch</w:t>
            </w:r>
            <w:r w:rsidR="00E92BA3">
              <w:rPr>
                <w:sz w:val="20"/>
                <w:szCs w:val="20"/>
              </w:rPr>
              <w:t>.</w:t>
            </w:r>
            <w:r>
              <w:rPr>
                <w:sz w:val="20"/>
                <w:szCs w:val="20"/>
              </w:rPr>
              <w:t xml:space="preserve"> 4</w:t>
            </w:r>
          </w:p>
          <w:p w:rsidR="000121C4" w:rsidRDefault="000121C4" w:rsidP="003B6EFE">
            <w:pPr>
              <w:jc w:val="center"/>
              <w:rPr>
                <w:sz w:val="20"/>
                <w:szCs w:val="20"/>
              </w:rPr>
            </w:pPr>
            <w:r>
              <w:rPr>
                <w:sz w:val="20"/>
                <w:szCs w:val="20"/>
              </w:rPr>
              <w:t>Sec 454.1.4.1</w:t>
            </w:r>
          </w:p>
          <w:p w:rsidR="000121C4" w:rsidRDefault="000121C4" w:rsidP="003B6EFE">
            <w:pPr>
              <w:jc w:val="center"/>
              <w:rPr>
                <w:sz w:val="20"/>
                <w:szCs w:val="20"/>
              </w:rPr>
            </w:pPr>
            <w:r>
              <w:rPr>
                <w:sz w:val="20"/>
                <w:szCs w:val="20"/>
              </w:rPr>
              <w:t>And</w:t>
            </w:r>
          </w:p>
          <w:p w:rsidR="000121C4" w:rsidRPr="003B6EFE" w:rsidRDefault="000121C4" w:rsidP="003B6EFE">
            <w:pPr>
              <w:jc w:val="center"/>
              <w:rPr>
                <w:sz w:val="20"/>
                <w:szCs w:val="20"/>
              </w:rPr>
            </w:pPr>
            <w:r>
              <w:rPr>
                <w:sz w:val="20"/>
                <w:szCs w:val="20"/>
              </w:rPr>
              <w:t>Sec 454.2.16</w:t>
            </w:r>
          </w:p>
        </w:tc>
        <w:tc>
          <w:tcPr>
            <w:tcW w:w="6790" w:type="dxa"/>
            <w:vAlign w:val="center"/>
          </w:tcPr>
          <w:p w:rsidR="00E92BA3" w:rsidRDefault="00E92BA3" w:rsidP="00E92BA3">
            <w:pPr>
              <w:autoSpaceDE w:val="0"/>
              <w:autoSpaceDN w:val="0"/>
              <w:adjustRightInd w:val="0"/>
              <w:rPr>
                <w:rFonts w:ascii="ArialMT" w:hAnsi="ArialMT" w:cs="ArialMT"/>
                <w:sz w:val="20"/>
                <w:szCs w:val="20"/>
              </w:rPr>
            </w:pPr>
            <w:r>
              <w:rPr>
                <w:rFonts w:ascii="ArialMT" w:hAnsi="ArialMT" w:cs="ArialMT"/>
                <w:sz w:val="20"/>
                <w:szCs w:val="20"/>
              </w:rPr>
              <w:t>Section 454.1.4.1 – Local amendment to require all swimming pool lighting fixtures to be low voltage (15 Volts or less) RMS for sinusoidal alternating current.</w:t>
            </w:r>
          </w:p>
          <w:p w:rsidR="00E92BA3" w:rsidRDefault="00E92BA3" w:rsidP="00E92BA3">
            <w:pPr>
              <w:autoSpaceDE w:val="0"/>
              <w:autoSpaceDN w:val="0"/>
              <w:adjustRightInd w:val="0"/>
            </w:pPr>
          </w:p>
          <w:p w:rsidR="00E92BA3" w:rsidRDefault="00E92BA3" w:rsidP="00E92BA3">
            <w:pPr>
              <w:autoSpaceDE w:val="0"/>
              <w:autoSpaceDN w:val="0"/>
              <w:adjustRightInd w:val="0"/>
              <w:rPr>
                <w:rFonts w:ascii="ArialMT" w:hAnsi="ArialMT" w:cs="ArialMT"/>
                <w:sz w:val="20"/>
                <w:szCs w:val="20"/>
              </w:rPr>
            </w:pPr>
            <w:r>
              <w:t xml:space="preserve">Section 454.2.16 – </w:t>
            </w:r>
            <w:r>
              <w:rPr>
                <w:rFonts w:ascii="ArialMT" w:hAnsi="ArialMT" w:cs="ArialMT"/>
                <w:sz w:val="20"/>
                <w:szCs w:val="20"/>
              </w:rPr>
              <w:t>Local amendment to require all swimming pool lighting fixtures to be low voltage (15 Volts or less) RMS for sinusoidal alternating current.</w:t>
            </w:r>
          </w:p>
          <w:p w:rsidR="00E92BA3" w:rsidRDefault="00E92BA3" w:rsidP="00E92BA3">
            <w:pPr>
              <w:autoSpaceDE w:val="0"/>
              <w:autoSpaceDN w:val="0"/>
              <w:adjustRightInd w:val="0"/>
            </w:pPr>
          </w:p>
          <w:p w:rsidR="00A909F7" w:rsidRPr="00A909F7" w:rsidRDefault="00A909F7" w:rsidP="00E92BA3">
            <w:pPr>
              <w:rPr>
                <w:sz w:val="20"/>
                <w:szCs w:val="20"/>
              </w:rPr>
            </w:pPr>
          </w:p>
        </w:tc>
        <w:tc>
          <w:tcPr>
            <w:tcW w:w="2937" w:type="dxa"/>
            <w:vAlign w:val="center"/>
          </w:tcPr>
          <w:p w:rsidR="003B6EFE" w:rsidRDefault="0056787F" w:rsidP="003B6EFE">
            <w:pPr>
              <w:jc w:val="center"/>
              <w:rPr>
                <w:b/>
                <w:sz w:val="20"/>
                <w:szCs w:val="20"/>
              </w:rPr>
            </w:pPr>
            <w:r>
              <w:rPr>
                <w:b/>
                <w:sz w:val="20"/>
                <w:szCs w:val="20"/>
              </w:rPr>
              <w:t>Holland to Deny  2</w:t>
            </w:r>
            <w:r w:rsidRPr="0056787F">
              <w:rPr>
                <w:b/>
                <w:sz w:val="20"/>
                <w:szCs w:val="20"/>
                <w:vertAlign w:val="superscript"/>
              </w:rPr>
              <w:t>nd</w:t>
            </w:r>
            <w:r>
              <w:rPr>
                <w:b/>
                <w:sz w:val="20"/>
                <w:szCs w:val="20"/>
              </w:rPr>
              <w:t xml:space="preserve"> Fischer  </w:t>
            </w:r>
            <w:r w:rsidR="00F15932" w:rsidRPr="00B96722">
              <w:rPr>
                <w:b/>
                <w:sz w:val="20"/>
                <w:szCs w:val="20"/>
              </w:rPr>
              <w:t>VOTE:</w:t>
            </w:r>
            <w:r>
              <w:rPr>
                <w:b/>
                <w:sz w:val="20"/>
                <w:szCs w:val="20"/>
              </w:rPr>
              <w:t>9 Yes – 0 No</w:t>
            </w:r>
          </w:p>
          <w:p w:rsidR="00995276" w:rsidRDefault="00995276" w:rsidP="003B6EFE">
            <w:pPr>
              <w:jc w:val="center"/>
              <w:rPr>
                <w:b/>
                <w:sz w:val="20"/>
                <w:szCs w:val="20"/>
              </w:rPr>
            </w:pPr>
          </w:p>
          <w:p w:rsidR="00995276" w:rsidRPr="00B96722" w:rsidRDefault="00995276" w:rsidP="003B6EFE">
            <w:pPr>
              <w:jc w:val="center"/>
              <w:rPr>
                <w:b/>
                <w:sz w:val="20"/>
                <w:szCs w:val="20"/>
              </w:rPr>
            </w:pPr>
            <w:r w:rsidRPr="00DE5AB7">
              <w:rPr>
                <w:b/>
              </w:rPr>
              <w:t>Commission Action to Deny Vote: 13-0</w:t>
            </w:r>
          </w:p>
        </w:tc>
      </w:tr>
      <w:tr w:rsidR="003B6EFE" w:rsidTr="00D635F6">
        <w:trPr>
          <w:trHeight w:val="161"/>
        </w:trPr>
        <w:tc>
          <w:tcPr>
            <w:tcW w:w="1580" w:type="dxa"/>
            <w:shd w:val="clear" w:color="auto" w:fill="BFBFBF" w:themeFill="background1" w:themeFillShade="BF"/>
            <w:vAlign w:val="center"/>
          </w:tcPr>
          <w:p w:rsidR="003B6EFE" w:rsidRPr="00F15932" w:rsidRDefault="003B6EFE" w:rsidP="003B6EFE">
            <w:pPr>
              <w:jc w:val="center"/>
              <w:rPr>
                <w:sz w:val="16"/>
                <w:szCs w:val="16"/>
              </w:rPr>
            </w:pPr>
          </w:p>
        </w:tc>
        <w:tc>
          <w:tcPr>
            <w:tcW w:w="1869" w:type="dxa"/>
            <w:shd w:val="clear" w:color="auto" w:fill="BFBFBF" w:themeFill="background1" w:themeFillShade="BF"/>
            <w:vAlign w:val="center"/>
          </w:tcPr>
          <w:p w:rsidR="003B6EFE" w:rsidRPr="00F15932" w:rsidRDefault="003B6EFE" w:rsidP="003B6EFE">
            <w:pPr>
              <w:jc w:val="center"/>
              <w:rPr>
                <w:sz w:val="16"/>
                <w:szCs w:val="16"/>
              </w:rPr>
            </w:pPr>
          </w:p>
        </w:tc>
        <w:tc>
          <w:tcPr>
            <w:tcW w:w="6790" w:type="dxa"/>
            <w:shd w:val="clear" w:color="auto" w:fill="BFBFBF" w:themeFill="background1" w:themeFillShade="BF"/>
            <w:vAlign w:val="center"/>
          </w:tcPr>
          <w:p w:rsidR="003B6EFE" w:rsidRPr="00F15932" w:rsidRDefault="003B6EFE" w:rsidP="003B6EFE">
            <w:pPr>
              <w:jc w:val="center"/>
              <w:rPr>
                <w:sz w:val="16"/>
                <w:szCs w:val="16"/>
              </w:rPr>
            </w:pPr>
          </w:p>
        </w:tc>
        <w:tc>
          <w:tcPr>
            <w:tcW w:w="2937" w:type="dxa"/>
            <w:shd w:val="clear" w:color="auto" w:fill="BFBFBF" w:themeFill="background1" w:themeFillShade="BF"/>
            <w:vAlign w:val="center"/>
          </w:tcPr>
          <w:p w:rsidR="003B6EFE" w:rsidRPr="00F15932" w:rsidRDefault="003B6EFE" w:rsidP="003B6EFE">
            <w:pPr>
              <w:jc w:val="center"/>
              <w:rPr>
                <w:sz w:val="16"/>
                <w:szCs w:val="16"/>
              </w:rPr>
            </w:pPr>
          </w:p>
        </w:tc>
      </w:tr>
      <w:tr w:rsidR="003B6EFE" w:rsidTr="00D635F6">
        <w:tc>
          <w:tcPr>
            <w:tcW w:w="1580" w:type="dxa"/>
            <w:vAlign w:val="center"/>
          </w:tcPr>
          <w:p w:rsidR="003B6EFE" w:rsidRDefault="00E86950" w:rsidP="003B6EFE">
            <w:pPr>
              <w:jc w:val="center"/>
            </w:pPr>
            <w:r>
              <w:t>County of</w:t>
            </w:r>
          </w:p>
          <w:p w:rsidR="00E86950" w:rsidRDefault="000121C4" w:rsidP="003B6EFE">
            <w:pPr>
              <w:jc w:val="center"/>
            </w:pPr>
            <w:r>
              <w:t xml:space="preserve">Miami-Dade </w:t>
            </w:r>
          </w:p>
        </w:tc>
        <w:tc>
          <w:tcPr>
            <w:tcW w:w="1869" w:type="dxa"/>
            <w:vAlign w:val="center"/>
          </w:tcPr>
          <w:p w:rsidR="000121C4" w:rsidRPr="000121C4" w:rsidRDefault="000121C4" w:rsidP="000121C4">
            <w:pPr>
              <w:jc w:val="center"/>
              <w:rPr>
                <w:sz w:val="18"/>
                <w:szCs w:val="18"/>
              </w:rPr>
            </w:pPr>
            <w:r w:rsidRPr="000121C4">
              <w:rPr>
                <w:sz w:val="18"/>
                <w:szCs w:val="18"/>
              </w:rPr>
              <w:t>FBC-Building</w:t>
            </w:r>
          </w:p>
          <w:p w:rsidR="000121C4" w:rsidRPr="000121C4" w:rsidRDefault="00C17FF1" w:rsidP="000121C4">
            <w:pPr>
              <w:jc w:val="center"/>
              <w:rPr>
                <w:sz w:val="18"/>
                <w:szCs w:val="18"/>
              </w:rPr>
            </w:pPr>
            <w:r>
              <w:rPr>
                <w:sz w:val="18"/>
                <w:szCs w:val="18"/>
              </w:rPr>
              <w:t>Sec</w:t>
            </w:r>
            <w:r w:rsidR="000121C4" w:rsidRPr="000121C4">
              <w:rPr>
                <w:sz w:val="18"/>
                <w:szCs w:val="18"/>
              </w:rPr>
              <w:t xml:space="preserve"> 454</w:t>
            </w:r>
          </w:p>
          <w:p w:rsidR="00E86950" w:rsidRPr="000121C4" w:rsidRDefault="000121C4" w:rsidP="000121C4">
            <w:pPr>
              <w:jc w:val="center"/>
              <w:rPr>
                <w:sz w:val="18"/>
                <w:szCs w:val="18"/>
              </w:rPr>
            </w:pPr>
            <w:r w:rsidRPr="000121C4">
              <w:rPr>
                <w:sz w:val="18"/>
                <w:szCs w:val="18"/>
              </w:rPr>
              <w:t>Sec 454.1.4.1,</w:t>
            </w:r>
          </w:p>
          <w:p w:rsidR="000121C4" w:rsidRPr="000121C4" w:rsidRDefault="000121C4" w:rsidP="000121C4">
            <w:pPr>
              <w:jc w:val="center"/>
              <w:rPr>
                <w:sz w:val="18"/>
                <w:szCs w:val="18"/>
              </w:rPr>
            </w:pPr>
            <w:r w:rsidRPr="000121C4">
              <w:rPr>
                <w:sz w:val="18"/>
                <w:szCs w:val="18"/>
              </w:rPr>
              <w:t>Sec 454.1.10.4.1</w:t>
            </w:r>
          </w:p>
          <w:p w:rsidR="000121C4" w:rsidRDefault="000121C4" w:rsidP="000121C4">
            <w:pPr>
              <w:jc w:val="center"/>
              <w:rPr>
                <w:sz w:val="18"/>
                <w:szCs w:val="18"/>
              </w:rPr>
            </w:pPr>
            <w:r w:rsidRPr="000121C4">
              <w:rPr>
                <w:sz w:val="18"/>
                <w:szCs w:val="18"/>
              </w:rPr>
              <w:t>Sec 454.2.16</w:t>
            </w:r>
          </w:p>
          <w:p w:rsidR="00E92BA3" w:rsidRDefault="00E92BA3" w:rsidP="00E92BA3">
            <w:pPr>
              <w:jc w:val="center"/>
            </w:pPr>
            <w:r>
              <w:t xml:space="preserve">FBC – Residential </w:t>
            </w:r>
          </w:p>
          <w:p w:rsidR="00E92BA3" w:rsidRPr="000121C4" w:rsidRDefault="00E92BA3" w:rsidP="00E92BA3">
            <w:pPr>
              <w:jc w:val="center"/>
              <w:rPr>
                <w:sz w:val="18"/>
                <w:szCs w:val="18"/>
              </w:rPr>
            </w:pPr>
            <w:r>
              <w:t>Sec R4501.16</w:t>
            </w:r>
          </w:p>
          <w:p w:rsidR="000121C4" w:rsidRDefault="000121C4" w:rsidP="002415EC">
            <w:pPr>
              <w:jc w:val="center"/>
            </w:pPr>
          </w:p>
        </w:tc>
        <w:tc>
          <w:tcPr>
            <w:tcW w:w="6790" w:type="dxa"/>
          </w:tcPr>
          <w:p w:rsidR="00822F76" w:rsidRDefault="00E92BA3" w:rsidP="00E92BA3">
            <w:r>
              <w:rPr>
                <w:rFonts w:ascii="ArialMT" w:hAnsi="ArialMT" w:cs="ArialMT"/>
                <w:sz w:val="20"/>
                <w:szCs w:val="20"/>
              </w:rPr>
              <w:t>Local amendments to require low voltage lighting in newly built private swimming or recreational bathing pools that have underwater lighting installed, and in existing private pools with underwater lighting when permitted construction work is done after the initial construction.</w:t>
            </w:r>
          </w:p>
        </w:tc>
        <w:tc>
          <w:tcPr>
            <w:tcW w:w="2937" w:type="dxa"/>
            <w:vAlign w:val="center"/>
          </w:tcPr>
          <w:p w:rsidR="003B6EFE" w:rsidRDefault="0056787F" w:rsidP="003B6EFE">
            <w:pPr>
              <w:jc w:val="center"/>
              <w:rPr>
                <w:b/>
              </w:rPr>
            </w:pPr>
            <w:r>
              <w:rPr>
                <w:b/>
              </w:rPr>
              <w:t>Holland to Deny  2</w:t>
            </w:r>
            <w:r w:rsidRPr="0056787F">
              <w:rPr>
                <w:b/>
                <w:vertAlign w:val="superscript"/>
              </w:rPr>
              <w:t>nd</w:t>
            </w:r>
            <w:r>
              <w:rPr>
                <w:b/>
              </w:rPr>
              <w:t xml:space="preserve"> Fischer  </w:t>
            </w:r>
            <w:r w:rsidR="00F15932" w:rsidRPr="0056787F">
              <w:rPr>
                <w:b/>
              </w:rPr>
              <w:t>VOTE:</w:t>
            </w:r>
            <w:r>
              <w:rPr>
                <w:b/>
              </w:rPr>
              <w:t>9 Yes – 0 No</w:t>
            </w:r>
          </w:p>
          <w:p w:rsidR="00995276" w:rsidRDefault="00995276" w:rsidP="003B6EFE">
            <w:pPr>
              <w:jc w:val="center"/>
              <w:rPr>
                <w:b/>
              </w:rPr>
            </w:pPr>
          </w:p>
          <w:p w:rsidR="00995276" w:rsidRPr="0056787F" w:rsidRDefault="00995276" w:rsidP="003B6EFE">
            <w:pPr>
              <w:jc w:val="center"/>
              <w:rPr>
                <w:b/>
              </w:rPr>
            </w:pPr>
            <w:r w:rsidRPr="00DE5AB7">
              <w:rPr>
                <w:b/>
              </w:rPr>
              <w:t>Commission Action to Deny Vote: 13-0</w:t>
            </w:r>
          </w:p>
        </w:tc>
      </w:tr>
      <w:tr w:rsidR="003B6EFE" w:rsidTr="00D635F6">
        <w:tc>
          <w:tcPr>
            <w:tcW w:w="1580" w:type="dxa"/>
            <w:shd w:val="clear" w:color="auto" w:fill="BFBFBF" w:themeFill="background1" w:themeFillShade="BF"/>
            <w:vAlign w:val="center"/>
          </w:tcPr>
          <w:p w:rsidR="003B6EFE" w:rsidRPr="00F15932" w:rsidRDefault="003B6EFE" w:rsidP="003B6EFE">
            <w:pPr>
              <w:jc w:val="center"/>
              <w:rPr>
                <w:sz w:val="16"/>
                <w:szCs w:val="16"/>
              </w:rPr>
            </w:pPr>
          </w:p>
        </w:tc>
        <w:tc>
          <w:tcPr>
            <w:tcW w:w="1869" w:type="dxa"/>
            <w:shd w:val="clear" w:color="auto" w:fill="BFBFBF" w:themeFill="background1" w:themeFillShade="BF"/>
            <w:vAlign w:val="center"/>
          </w:tcPr>
          <w:p w:rsidR="003B6EFE" w:rsidRPr="00F15932" w:rsidRDefault="003B6EFE" w:rsidP="003B6EFE">
            <w:pPr>
              <w:jc w:val="center"/>
              <w:rPr>
                <w:sz w:val="16"/>
                <w:szCs w:val="16"/>
              </w:rPr>
            </w:pPr>
          </w:p>
        </w:tc>
        <w:tc>
          <w:tcPr>
            <w:tcW w:w="6790" w:type="dxa"/>
            <w:shd w:val="clear" w:color="auto" w:fill="BFBFBF" w:themeFill="background1" w:themeFillShade="BF"/>
            <w:vAlign w:val="center"/>
          </w:tcPr>
          <w:p w:rsidR="003B6EFE" w:rsidRPr="00F15932" w:rsidRDefault="003B6EFE" w:rsidP="003B6EFE">
            <w:pPr>
              <w:jc w:val="center"/>
              <w:rPr>
                <w:sz w:val="16"/>
                <w:szCs w:val="16"/>
              </w:rPr>
            </w:pPr>
          </w:p>
        </w:tc>
        <w:tc>
          <w:tcPr>
            <w:tcW w:w="2937" w:type="dxa"/>
            <w:shd w:val="clear" w:color="auto" w:fill="BFBFBF" w:themeFill="background1" w:themeFillShade="BF"/>
            <w:vAlign w:val="center"/>
          </w:tcPr>
          <w:p w:rsidR="003B6EFE" w:rsidRPr="00F15932" w:rsidRDefault="003B6EFE" w:rsidP="003B6EFE">
            <w:pPr>
              <w:jc w:val="center"/>
              <w:rPr>
                <w:sz w:val="16"/>
                <w:szCs w:val="16"/>
              </w:rPr>
            </w:pPr>
          </w:p>
        </w:tc>
      </w:tr>
      <w:tr w:rsidR="004E5D58" w:rsidTr="00D635F6">
        <w:trPr>
          <w:trHeight w:val="5462"/>
        </w:trPr>
        <w:tc>
          <w:tcPr>
            <w:tcW w:w="1580" w:type="dxa"/>
            <w:vAlign w:val="center"/>
          </w:tcPr>
          <w:p w:rsidR="004E5D58" w:rsidRPr="004E5D58" w:rsidRDefault="004E5D58" w:rsidP="004E5D58">
            <w:pPr>
              <w:jc w:val="center"/>
            </w:pPr>
            <w:r w:rsidRPr="004E5D58">
              <w:lastRenderedPageBreak/>
              <w:t>Pinellas County</w:t>
            </w:r>
          </w:p>
          <w:p w:rsidR="004E5D58" w:rsidRPr="004E5D58" w:rsidRDefault="004E5D58" w:rsidP="004E5D58">
            <w:pPr>
              <w:jc w:val="center"/>
            </w:pPr>
            <w:r w:rsidRPr="004E5D58">
              <w:t>Construction Industry Licensing Board</w:t>
            </w:r>
          </w:p>
          <w:p w:rsidR="004E5D58" w:rsidRPr="004E5D58" w:rsidRDefault="004E5D58" w:rsidP="004E5D58">
            <w:pPr>
              <w:jc w:val="center"/>
            </w:pPr>
            <w:r w:rsidRPr="004E5D58">
              <w:t>(PCCLB)</w:t>
            </w:r>
          </w:p>
          <w:p w:rsidR="004E5D58" w:rsidRDefault="004E5D58" w:rsidP="003B6EFE">
            <w:pPr>
              <w:jc w:val="center"/>
            </w:pPr>
          </w:p>
        </w:tc>
        <w:tc>
          <w:tcPr>
            <w:tcW w:w="1869" w:type="dxa"/>
            <w:vAlign w:val="center"/>
          </w:tcPr>
          <w:p w:rsidR="004E5D58" w:rsidRPr="004E5D58" w:rsidRDefault="004E5D58" w:rsidP="004E5D58">
            <w:pPr>
              <w:jc w:val="center"/>
            </w:pPr>
            <w:r w:rsidRPr="004E5D58">
              <w:t>FBC –</w:t>
            </w:r>
          </w:p>
          <w:p w:rsidR="004E5D58" w:rsidRPr="004E5D58" w:rsidRDefault="00C17FF1" w:rsidP="004E5D58">
            <w:pPr>
              <w:jc w:val="center"/>
            </w:pPr>
            <w:r>
              <w:t xml:space="preserve">Building </w:t>
            </w:r>
            <w:r w:rsidR="004E5D58" w:rsidRPr="004E5D58">
              <w:t xml:space="preserve"> </w:t>
            </w:r>
          </w:p>
          <w:p w:rsidR="004E5D58" w:rsidRDefault="00C17FF1" w:rsidP="004E5D58">
            <w:pPr>
              <w:jc w:val="center"/>
            </w:pPr>
            <w:r>
              <w:t>Sec</w:t>
            </w:r>
            <w:r w:rsidR="004E5D58" w:rsidRPr="004E5D58">
              <w:t xml:space="preserve"> 2701.1</w:t>
            </w:r>
          </w:p>
          <w:p w:rsidR="006F61B9" w:rsidRPr="004E5D58" w:rsidRDefault="006F61B9" w:rsidP="004E5D58">
            <w:pPr>
              <w:jc w:val="center"/>
            </w:pPr>
          </w:p>
          <w:p w:rsidR="004E5D58" w:rsidRPr="004E5D58" w:rsidRDefault="004E5D58" w:rsidP="004E5D58">
            <w:pPr>
              <w:jc w:val="center"/>
            </w:pPr>
          </w:p>
          <w:p w:rsidR="004E5D58" w:rsidRDefault="004E5D58" w:rsidP="003B6EFE">
            <w:pPr>
              <w:jc w:val="center"/>
            </w:pPr>
          </w:p>
        </w:tc>
        <w:tc>
          <w:tcPr>
            <w:tcW w:w="6790" w:type="dxa"/>
            <w:vAlign w:val="center"/>
          </w:tcPr>
          <w:p w:rsidR="004E5D58" w:rsidRPr="00013176" w:rsidRDefault="00013176" w:rsidP="00822F76">
            <w:pPr>
              <w:rPr>
                <w:rFonts w:ascii="Arial-BoldMT" w:hAnsi="Arial-BoldMT" w:cs="Arial-BoldMT"/>
                <w:b/>
                <w:bCs/>
              </w:rPr>
            </w:pPr>
            <w:r w:rsidRPr="00013176">
              <w:rPr>
                <w:rFonts w:ascii="Arial-BoldMT" w:hAnsi="Arial-BoldMT" w:cs="Arial-BoldMT"/>
                <w:b/>
                <w:bCs/>
              </w:rPr>
              <w:t>2701.1 Scope.</w:t>
            </w:r>
          </w:p>
          <w:p w:rsidR="00013176" w:rsidRPr="00013176" w:rsidRDefault="00013176" w:rsidP="00013176">
            <w:pPr>
              <w:kinsoku w:val="0"/>
              <w:overflowPunct w:val="0"/>
              <w:autoSpaceDE w:val="0"/>
              <w:autoSpaceDN w:val="0"/>
              <w:adjustRightInd w:val="0"/>
              <w:spacing w:line="268" w:lineRule="exact"/>
              <w:ind w:left="40"/>
              <w:rPr>
                <w:rFonts w:ascii="Arial" w:hAnsi="Arial" w:cs="Arial"/>
                <w:b/>
                <w:bCs/>
              </w:rPr>
            </w:pPr>
            <w:bookmarkStart w:id="0" w:name="FBC_Bldg_Sec_2701_NEC_Article-250.96_Bon"/>
            <w:bookmarkEnd w:id="0"/>
            <w:r w:rsidRPr="00013176">
              <w:rPr>
                <w:rFonts w:ascii="Arial" w:hAnsi="Arial" w:cs="Arial"/>
                <w:b/>
                <w:bCs/>
              </w:rPr>
              <w:t>AMEND EXISTING NEC SECTION</w:t>
            </w:r>
          </w:p>
          <w:p w:rsidR="00013176" w:rsidRPr="00013176" w:rsidRDefault="00013176" w:rsidP="00013176">
            <w:pPr>
              <w:kinsoku w:val="0"/>
              <w:overflowPunct w:val="0"/>
              <w:autoSpaceDE w:val="0"/>
              <w:autoSpaceDN w:val="0"/>
              <w:adjustRightInd w:val="0"/>
              <w:spacing w:before="68"/>
              <w:ind w:left="40"/>
              <w:rPr>
                <w:rFonts w:ascii="Arial" w:hAnsi="Arial" w:cs="Arial"/>
                <w:b/>
                <w:bCs/>
                <w:color w:val="232323"/>
              </w:rPr>
            </w:pPr>
            <w:r w:rsidRPr="00013176">
              <w:rPr>
                <w:rFonts w:ascii="Arial" w:hAnsi="Arial" w:cs="Arial"/>
                <w:b/>
                <w:bCs/>
                <w:color w:val="232323"/>
              </w:rPr>
              <w:t>Article 250.96 Bonding Other Enclosures.</w:t>
            </w:r>
          </w:p>
          <w:p w:rsidR="00013176" w:rsidRPr="00013176" w:rsidRDefault="00013176" w:rsidP="00013176">
            <w:pPr>
              <w:pStyle w:val="BodyText"/>
              <w:kinsoku w:val="0"/>
              <w:overflowPunct w:val="0"/>
              <w:spacing w:line="268" w:lineRule="exact"/>
              <w:ind w:left="39"/>
              <w:rPr>
                <w:rFonts w:ascii="Arial" w:hAnsi="Arial" w:cs="Arial"/>
                <w:color w:val="404040"/>
              </w:rPr>
            </w:pPr>
            <w:r w:rsidRPr="00013176">
              <w:rPr>
                <w:rFonts w:ascii="Arial" w:hAnsi="Arial" w:cs="Arial"/>
                <w:color w:val="232323"/>
              </w:rPr>
              <w:t xml:space="preserve">(A) </w:t>
            </w:r>
            <w:r w:rsidRPr="00013176">
              <w:rPr>
                <w:rFonts w:ascii="Arial" w:hAnsi="Arial" w:cs="Arial"/>
                <w:b/>
                <w:bCs/>
                <w:color w:val="232323"/>
              </w:rPr>
              <w:t xml:space="preserve">General. </w:t>
            </w:r>
            <w:r w:rsidRPr="00013176">
              <w:rPr>
                <w:rFonts w:ascii="Arial" w:hAnsi="Arial" w:cs="Arial"/>
                <w:color w:val="232323"/>
              </w:rPr>
              <w:t>Metal raceways, cable trays, cable armor</w:t>
            </w:r>
            <w:r w:rsidRPr="00013176">
              <w:rPr>
                <w:rFonts w:ascii="Arial" w:hAnsi="Arial" w:cs="Arial"/>
                <w:color w:val="404040"/>
              </w:rPr>
              <w:t xml:space="preserve">, </w:t>
            </w:r>
            <w:r w:rsidRPr="00013176">
              <w:rPr>
                <w:rFonts w:ascii="Arial" w:hAnsi="Arial" w:cs="Arial"/>
                <w:color w:val="232323"/>
              </w:rPr>
              <w:t>cable sheath, enclosures</w:t>
            </w:r>
            <w:r w:rsidRPr="00013176">
              <w:rPr>
                <w:rFonts w:ascii="Arial" w:hAnsi="Arial" w:cs="Arial"/>
                <w:color w:val="404040"/>
              </w:rPr>
              <w:t xml:space="preserve">, </w:t>
            </w:r>
            <w:r w:rsidRPr="00013176">
              <w:rPr>
                <w:rFonts w:ascii="Arial" w:hAnsi="Arial" w:cs="Arial"/>
                <w:color w:val="232323"/>
              </w:rPr>
              <w:t>frames</w:t>
            </w:r>
            <w:r w:rsidRPr="00013176">
              <w:rPr>
                <w:rFonts w:ascii="Arial" w:hAnsi="Arial" w:cs="Arial"/>
                <w:color w:val="404040"/>
              </w:rPr>
              <w:t>,</w:t>
            </w:r>
          </w:p>
          <w:p w:rsidR="00013176" w:rsidRPr="00013176" w:rsidRDefault="00013176" w:rsidP="00013176">
            <w:pPr>
              <w:kinsoku w:val="0"/>
              <w:overflowPunct w:val="0"/>
              <w:autoSpaceDE w:val="0"/>
              <w:autoSpaceDN w:val="0"/>
              <w:adjustRightInd w:val="0"/>
              <w:spacing w:before="2" w:line="300" w:lineRule="auto"/>
              <w:ind w:left="40" w:right="119"/>
              <w:jc w:val="both"/>
              <w:rPr>
                <w:rFonts w:ascii="Arial" w:hAnsi="Arial" w:cs="Arial"/>
                <w:color w:val="404040"/>
              </w:rPr>
            </w:pPr>
            <w:r w:rsidRPr="00013176">
              <w:rPr>
                <w:rFonts w:ascii="Arial" w:hAnsi="Arial" w:cs="Arial"/>
                <w:color w:val="232323"/>
              </w:rPr>
              <w:t>fittings, and other metal non-current-carrying parts that are to serve as equipment grounding conductors, with or without the use of supplementary equipment grounding conductors</w:t>
            </w:r>
            <w:r w:rsidRPr="00013176">
              <w:rPr>
                <w:rFonts w:ascii="Arial" w:hAnsi="Arial" w:cs="Arial"/>
                <w:color w:val="404040"/>
              </w:rPr>
              <w:t xml:space="preserve">, </w:t>
            </w:r>
            <w:r w:rsidRPr="00013176">
              <w:rPr>
                <w:rFonts w:ascii="Arial" w:hAnsi="Arial" w:cs="Arial"/>
                <w:color w:val="232323"/>
              </w:rPr>
              <w:t>shall be bond</w:t>
            </w:r>
            <w:r w:rsidRPr="00013176">
              <w:rPr>
                <w:rFonts w:ascii="Arial" w:hAnsi="Arial" w:cs="Arial"/>
                <w:color w:val="404040"/>
              </w:rPr>
              <w:t>e</w:t>
            </w:r>
            <w:r w:rsidRPr="00013176">
              <w:rPr>
                <w:rFonts w:ascii="Arial" w:hAnsi="Arial" w:cs="Arial"/>
                <w:color w:val="232323"/>
              </w:rPr>
              <w:t>d wh</w:t>
            </w:r>
            <w:r w:rsidRPr="00013176">
              <w:rPr>
                <w:rFonts w:ascii="Arial" w:hAnsi="Arial" w:cs="Arial"/>
                <w:color w:val="6C6A6C"/>
              </w:rPr>
              <w:t xml:space="preserve">ere </w:t>
            </w:r>
            <w:r w:rsidRPr="00013176">
              <w:rPr>
                <w:rFonts w:ascii="Arial" w:hAnsi="Arial" w:cs="Arial"/>
                <w:color w:val="232323"/>
              </w:rPr>
              <w:t>necessary to ensure electrical continuity and the capacity t</w:t>
            </w:r>
            <w:r w:rsidRPr="00013176">
              <w:rPr>
                <w:rFonts w:ascii="Arial" w:hAnsi="Arial" w:cs="Arial"/>
                <w:color w:val="6C6A6C"/>
              </w:rPr>
              <w:t xml:space="preserve">o </w:t>
            </w:r>
            <w:r w:rsidRPr="00013176">
              <w:rPr>
                <w:rFonts w:ascii="Arial" w:hAnsi="Arial" w:cs="Arial"/>
                <w:color w:val="232323"/>
              </w:rPr>
              <w:t xml:space="preserve">conduct </w:t>
            </w:r>
            <w:r w:rsidRPr="00013176">
              <w:rPr>
                <w:rFonts w:ascii="Arial" w:hAnsi="Arial" w:cs="Arial"/>
                <w:color w:val="404040"/>
              </w:rPr>
              <w:t>s</w:t>
            </w:r>
            <w:r w:rsidRPr="00013176">
              <w:rPr>
                <w:rFonts w:ascii="Arial" w:hAnsi="Arial" w:cs="Arial"/>
                <w:color w:val="232323"/>
              </w:rPr>
              <w:t>afely any fault current likely to be imposed on them. Any nonconductive paint, enamel, or similar coating shall be removed at threads, contact points, and contact surfaces or be connected by means of fittings designed so as to make such removal unnecessary</w:t>
            </w:r>
            <w:r w:rsidRPr="00013176">
              <w:rPr>
                <w:rFonts w:ascii="Arial" w:hAnsi="Arial" w:cs="Arial"/>
                <w:color w:val="404040"/>
              </w:rPr>
              <w:t xml:space="preserve">. </w:t>
            </w:r>
            <w:r w:rsidRPr="00013176">
              <w:rPr>
                <w:rFonts w:ascii="Arial" w:hAnsi="Arial" w:cs="Arial"/>
                <w:color w:val="404040"/>
                <w:u w:val="single"/>
              </w:rPr>
              <w:t>All raceways shall contain an</w:t>
            </w:r>
          </w:p>
          <w:p w:rsidR="00013176" w:rsidRPr="00013176" w:rsidRDefault="00013176" w:rsidP="00013176">
            <w:pPr>
              <w:kinsoku w:val="0"/>
              <w:overflowPunct w:val="0"/>
              <w:autoSpaceDE w:val="0"/>
              <w:autoSpaceDN w:val="0"/>
              <w:adjustRightInd w:val="0"/>
              <w:spacing w:before="1"/>
              <w:ind w:left="40"/>
              <w:rPr>
                <w:rFonts w:ascii="Arial" w:hAnsi="Arial" w:cs="Arial"/>
                <w:color w:val="404040"/>
              </w:rPr>
            </w:pPr>
            <w:proofErr w:type="gramStart"/>
            <w:r w:rsidRPr="00013176">
              <w:rPr>
                <w:rFonts w:ascii="Arial" w:hAnsi="Arial" w:cs="Arial"/>
                <w:color w:val="404040"/>
                <w:u w:val="single"/>
              </w:rPr>
              <w:t>equipment-grounding</w:t>
            </w:r>
            <w:proofErr w:type="gramEnd"/>
            <w:r w:rsidRPr="00013176">
              <w:rPr>
                <w:rFonts w:ascii="Arial" w:hAnsi="Arial" w:cs="Arial"/>
                <w:color w:val="404040"/>
                <w:u w:val="single"/>
              </w:rPr>
              <w:t xml:space="preserve"> conductor sized in accordance with Table 250.122.</w:t>
            </w:r>
          </w:p>
          <w:p w:rsidR="00013176" w:rsidRPr="00013176" w:rsidRDefault="00013176" w:rsidP="00013176">
            <w:pPr>
              <w:kinsoku w:val="0"/>
              <w:overflowPunct w:val="0"/>
              <w:autoSpaceDE w:val="0"/>
              <w:autoSpaceDN w:val="0"/>
              <w:adjustRightInd w:val="0"/>
              <w:ind w:left="40"/>
              <w:rPr>
                <w:rFonts w:ascii="Arial" w:hAnsi="Arial" w:cs="Arial"/>
                <w:color w:val="232323"/>
                <w:sz w:val="24"/>
                <w:szCs w:val="24"/>
              </w:rPr>
            </w:pPr>
          </w:p>
          <w:p w:rsidR="00013176" w:rsidRDefault="00013176" w:rsidP="00822F76"/>
        </w:tc>
        <w:tc>
          <w:tcPr>
            <w:tcW w:w="2937" w:type="dxa"/>
            <w:vAlign w:val="center"/>
          </w:tcPr>
          <w:p w:rsidR="004E5D58" w:rsidRDefault="0056787F" w:rsidP="003B6EFE">
            <w:pPr>
              <w:jc w:val="center"/>
              <w:rPr>
                <w:b/>
              </w:rPr>
            </w:pPr>
            <w:r>
              <w:t xml:space="preserve">  </w:t>
            </w:r>
            <w:r>
              <w:rPr>
                <w:b/>
              </w:rPr>
              <w:t>Holland to Deny  2</w:t>
            </w:r>
            <w:r w:rsidRPr="0056787F">
              <w:rPr>
                <w:b/>
                <w:vertAlign w:val="superscript"/>
              </w:rPr>
              <w:t>nd</w:t>
            </w:r>
            <w:r>
              <w:rPr>
                <w:b/>
              </w:rPr>
              <w:t xml:space="preserve"> Fischer  </w:t>
            </w:r>
            <w:r w:rsidRPr="0056787F">
              <w:rPr>
                <w:b/>
              </w:rPr>
              <w:t>VOTE:</w:t>
            </w:r>
            <w:r>
              <w:rPr>
                <w:b/>
              </w:rPr>
              <w:t>9 Yes – 0 No</w:t>
            </w:r>
          </w:p>
          <w:p w:rsidR="001B109F" w:rsidRDefault="001B109F" w:rsidP="003B6EFE">
            <w:pPr>
              <w:jc w:val="center"/>
              <w:rPr>
                <w:b/>
              </w:rPr>
            </w:pPr>
          </w:p>
          <w:p w:rsidR="001B109F" w:rsidRDefault="001B109F" w:rsidP="003B6EFE">
            <w:pPr>
              <w:jc w:val="center"/>
            </w:pPr>
            <w:r w:rsidRPr="00DE5AB7">
              <w:rPr>
                <w:b/>
              </w:rPr>
              <w:t>Commission Action to Deny Vote: 13-0</w:t>
            </w:r>
          </w:p>
        </w:tc>
      </w:tr>
      <w:tr w:rsidR="004E5D58" w:rsidTr="00D635F6">
        <w:tc>
          <w:tcPr>
            <w:tcW w:w="1580" w:type="dxa"/>
            <w:shd w:val="clear" w:color="auto" w:fill="BFBFBF" w:themeFill="background1" w:themeFillShade="BF"/>
            <w:vAlign w:val="center"/>
          </w:tcPr>
          <w:p w:rsidR="004E5D58" w:rsidRPr="004E5D58" w:rsidRDefault="004E5D58" w:rsidP="003B6EFE">
            <w:pPr>
              <w:jc w:val="center"/>
              <w:rPr>
                <w:sz w:val="16"/>
                <w:szCs w:val="16"/>
              </w:rPr>
            </w:pPr>
          </w:p>
        </w:tc>
        <w:tc>
          <w:tcPr>
            <w:tcW w:w="1869" w:type="dxa"/>
            <w:shd w:val="clear" w:color="auto" w:fill="BFBFBF" w:themeFill="background1" w:themeFillShade="BF"/>
            <w:vAlign w:val="center"/>
          </w:tcPr>
          <w:p w:rsidR="004E5D58" w:rsidRPr="004E5D58" w:rsidRDefault="004E5D58" w:rsidP="003B6EFE">
            <w:pPr>
              <w:jc w:val="center"/>
              <w:rPr>
                <w:sz w:val="16"/>
                <w:szCs w:val="16"/>
              </w:rPr>
            </w:pPr>
          </w:p>
        </w:tc>
        <w:tc>
          <w:tcPr>
            <w:tcW w:w="6790" w:type="dxa"/>
            <w:shd w:val="clear" w:color="auto" w:fill="BFBFBF" w:themeFill="background1" w:themeFillShade="BF"/>
            <w:vAlign w:val="center"/>
          </w:tcPr>
          <w:p w:rsidR="004E5D58" w:rsidRPr="004E5D58" w:rsidRDefault="004E5D58" w:rsidP="00822F76">
            <w:pPr>
              <w:rPr>
                <w:sz w:val="16"/>
                <w:szCs w:val="16"/>
              </w:rPr>
            </w:pPr>
          </w:p>
        </w:tc>
        <w:tc>
          <w:tcPr>
            <w:tcW w:w="2937" w:type="dxa"/>
            <w:shd w:val="clear" w:color="auto" w:fill="BFBFBF" w:themeFill="background1" w:themeFillShade="BF"/>
            <w:vAlign w:val="center"/>
          </w:tcPr>
          <w:p w:rsidR="004E5D58" w:rsidRPr="004E5D58" w:rsidRDefault="004E5D58" w:rsidP="003B6EFE">
            <w:pPr>
              <w:jc w:val="center"/>
              <w:rPr>
                <w:sz w:val="16"/>
                <w:szCs w:val="16"/>
              </w:rPr>
            </w:pPr>
          </w:p>
        </w:tc>
      </w:tr>
      <w:tr w:rsidR="00F15932" w:rsidTr="00D635F6">
        <w:tc>
          <w:tcPr>
            <w:tcW w:w="1580" w:type="dxa"/>
            <w:vAlign w:val="center"/>
          </w:tcPr>
          <w:p w:rsidR="00F15932" w:rsidRDefault="00822F76" w:rsidP="003B6EFE">
            <w:pPr>
              <w:jc w:val="center"/>
            </w:pPr>
            <w:r>
              <w:t>City of Winter Park</w:t>
            </w:r>
          </w:p>
        </w:tc>
        <w:tc>
          <w:tcPr>
            <w:tcW w:w="1869" w:type="dxa"/>
            <w:vAlign w:val="center"/>
          </w:tcPr>
          <w:p w:rsidR="00F15932" w:rsidRDefault="00822F76" w:rsidP="003B6EFE">
            <w:pPr>
              <w:jc w:val="center"/>
            </w:pPr>
            <w:r>
              <w:t>FBC</w:t>
            </w:r>
            <w:r w:rsidR="00DE4BD9">
              <w:t xml:space="preserve"> -</w:t>
            </w:r>
            <w:r>
              <w:t xml:space="preserve"> Building</w:t>
            </w:r>
          </w:p>
          <w:p w:rsidR="00822F76" w:rsidRDefault="00C17FF1" w:rsidP="003B6EFE">
            <w:pPr>
              <w:jc w:val="center"/>
            </w:pPr>
            <w:r>
              <w:t>Sec</w:t>
            </w:r>
            <w:r w:rsidR="00822F76">
              <w:t xml:space="preserve"> 2703</w:t>
            </w:r>
          </w:p>
        </w:tc>
        <w:tc>
          <w:tcPr>
            <w:tcW w:w="6790" w:type="dxa"/>
            <w:vAlign w:val="center"/>
          </w:tcPr>
          <w:p w:rsidR="00F15932" w:rsidRDefault="00DE4BD9" w:rsidP="00822F76">
            <w:r>
              <w:t>Local amendment to p</w:t>
            </w:r>
            <w:r w:rsidR="00C762B0">
              <w:t>rovides for provisions pertaining to e</w:t>
            </w:r>
            <w:r w:rsidR="00822F76">
              <w:t xml:space="preserve">lectrical Vehicle Charging Station Infrastructure and Electric Vehicle Parking Space Requirements, definitions, charging level, force, or voltage, amps and kilowatts -  </w:t>
            </w:r>
          </w:p>
        </w:tc>
        <w:tc>
          <w:tcPr>
            <w:tcW w:w="2937" w:type="dxa"/>
            <w:vAlign w:val="center"/>
          </w:tcPr>
          <w:p w:rsidR="00F15932" w:rsidRDefault="0056787F" w:rsidP="0056787F">
            <w:pPr>
              <w:jc w:val="center"/>
              <w:rPr>
                <w:b/>
              </w:rPr>
            </w:pPr>
            <w:r>
              <w:rPr>
                <w:b/>
              </w:rPr>
              <w:t>Territo to Deny  2</w:t>
            </w:r>
            <w:r w:rsidRPr="0056787F">
              <w:rPr>
                <w:b/>
                <w:vertAlign w:val="superscript"/>
              </w:rPr>
              <w:t>nd</w:t>
            </w:r>
            <w:r>
              <w:rPr>
                <w:b/>
                <w:vertAlign w:val="superscript"/>
              </w:rPr>
              <w:t xml:space="preserve"> </w:t>
            </w:r>
            <w:r>
              <w:rPr>
                <w:b/>
              </w:rPr>
              <w:t xml:space="preserve">Tibbs  </w:t>
            </w:r>
            <w:r w:rsidRPr="0056787F">
              <w:rPr>
                <w:b/>
              </w:rPr>
              <w:t>VOTE:</w:t>
            </w:r>
            <w:r>
              <w:rPr>
                <w:b/>
              </w:rPr>
              <w:t>8 Yes – 1 No</w:t>
            </w:r>
          </w:p>
          <w:p w:rsidR="001B109F" w:rsidRDefault="001B109F" w:rsidP="0056787F">
            <w:pPr>
              <w:jc w:val="center"/>
            </w:pPr>
            <w:r w:rsidRPr="00DE5AB7">
              <w:rPr>
                <w:b/>
              </w:rPr>
              <w:t>Commission Action to Deny Vote: 13-0</w:t>
            </w:r>
          </w:p>
        </w:tc>
      </w:tr>
      <w:tr w:rsidR="00F15932" w:rsidTr="00D635F6">
        <w:tc>
          <w:tcPr>
            <w:tcW w:w="1580" w:type="dxa"/>
            <w:shd w:val="clear" w:color="auto" w:fill="BFBFBF" w:themeFill="background1" w:themeFillShade="BF"/>
            <w:vAlign w:val="center"/>
          </w:tcPr>
          <w:p w:rsidR="00F15932" w:rsidRPr="00F15932" w:rsidRDefault="00F15932" w:rsidP="003B6EFE">
            <w:pPr>
              <w:jc w:val="center"/>
              <w:rPr>
                <w:sz w:val="16"/>
                <w:szCs w:val="16"/>
              </w:rPr>
            </w:pPr>
          </w:p>
        </w:tc>
        <w:tc>
          <w:tcPr>
            <w:tcW w:w="1869" w:type="dxa"/>
            <w:shd w:val="clear" w:color="auto" w:fill="BFBFBF" w:themeFill="background1" w:themeFillShade="BF"/>
            <w:vAlign w:val="center"/>
          </w:tcPr>
          <w:p w:rsidR="00F15932" w:rsidRPr="00F15932" w:rsidRDefault="00F15932" w:rsidP="003B6EFE">
            <w:pPr>
              <w:jc w:val="center"/>
              <w:rPr>
                <w:sz w:val="16"/>
                <w:szCs w:val="16"/>
              </w:rPr>
            </w:pPr>
          </w:p>
        </w:tc>
        <w:tc>
          <w:tcPr>
            <w:tcW w:w="6790" w:type="dxa"/>
            <w:shd w:val="clear" w:color="auto" w:fill="BFBFBF" w:themeFill="background1" w:themeFillShade="BF"/>
            <w:vAlign w:val="center"/>
          </w:tcPr>
          <w:p w:rsidR="00F15932" w:rsidRPr="00F15932" w:rsidRDefault="00F15932" w:rsidP="003B6EFE">
            <w:pPr>
              <w:jc w:val="center"/>
              <w:rPr>
                <w:sz w:val="16"/>
                <w:szCs w:val="16"/>
              </w:rPr>
            </w:pPr>
          </w:p>
        </w:tc>
        <w:tc>
          <w:tcPr>
            <w:tcW w:w="2937" w:type="dxa"/>
            <w:shd w:val="clear" w:color="auto" w:fill="BFBFBF" w:themeFill="background1" w:themeFillShade="BF"/>
            <w:vAlign w:val="center"/>
          </w:tcPr>
          <w:p w:rsidR="00F15932" w:rsidRPr="00F15932" w:rsidRDefault="00F15932" w:rsidP="003B6EFE">
            <w:pPr>
              <w:jc w:val="center"/>
              <w:rPr>
                <w:sz w:val="16"/>
                <w:szCs w:val="16"/>
              </w:rPr>
            </w:pPr>
          </w:p>
        </w:tc>
      </w:tr>
      <w:tr w:rsidR="00F15932" w:rsidTr="00D635F6">
        <w:tc>
          <w:tcPr>
            <w:tcW w:w="1580" w:type="dxa"/>
            <w:shd w:val="clear" w:color="auto" w:fill="auto"/>
            <w:vAlign w:val="center"/>
          </w:tcPr>
          <w:p w:rsidR="00F15932" w:rsidRPr="004E5D58" w:rsidRDefault="004E5D58" w:rsidP="003B6EFE">
            <w:pPr>
              <w:jc w:val="center"/>
            </w:pPr>
            <w:r w:rsidRPr="004E5D58">
              <w:t>County of Broward</w:t>
            </w:r>
          </w:p>
        </w:tc>
        <w:tc>
          <w:tcPr>
            <w:tcW w:w="1869" w:type="dxa"/>
            <w:shd w:val="clear" w:color="auto" w:fill="auto"/>
            <w:vAlign w:val="center"/>
          </w:tcPr>
          <w:p w:rsidR="004E5D58" w:rsidRPr="004E5D58" w:rsidRDefault="0090051A" w:rsidP="004E5D58">
            <w:pPr>
              <w:kinsoku w:val="0"/>
              <w:overflowPunct w:val="0"/>
              <w:autoSpaceDE w:val="0"/>
              <w:autoSpaceDN w:val="0"/>
              <w:adjustRightInd w:val="0"/>
              <w:spacing w:before="57"/>
              <w:ind w:left="39"/>
              <w:jc w:val="center"/>
              <w:rPr>
                <w:rFonts w:ascii="Calibri" w:hAnsi="Calibri" w:cs="Calibri"/>
                <w:sz w:val="24"/>
                <w:szCs w:val="24"/>
              </w:rPr>
            </w:pPr>
            <w:bookmarkStart w:id="1" w:name="_bookmark0"/>
            <w:bookmarkStart w:id="2" w:name="_bookmark1"/>
            <w:bookmarkStart w:id="3" w:name="_bookmark2"/>
            <w:bookmarkStart w:id="4" w:name="_bookmark3"/>
            <w:bookmarkStart w:id="5" w:name="_bookmark4"/>
            <w:bookmarkStart w:id="6" w:name="_bookmark5"/>
            <w:bookmarkStart w:id="7" w:name="_bookmark6"/>
            <w:bookmarkStart w:id="8" w:name="_bookmark7"/>
            <w:bookmarkStart w:id="9" w:name="_bookmark8"/>
            <w:bookmarkStart w:id="10" w:name="_bookmark9"/>
            <w:bookmarkStart w:id="11" w:name="_bookmark10"/>
            <w:bookmarkStart w:id="12" w:name="_bookmark11"/>
            <w:bookmarkStart w:id="13" w:name="_bookmark12"/>
            <w:bookmarkStart w:id="14" w:name="_bookmark13"/>
            <w:bookmarkStart w:id="15" w:name="_bookmark14"/>
            <w:bookmarkStart w:id="16" w:name="_bookmark15"/>
            <w:bookmarkStart w:id="17" w:name="_bookmark1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Calibri" w:hAnsi="Calibri" w:cs="Calibri"/>
                <w:sz w:val="24"/>
                <w:szCs w:val="24"/>
              </w:rPr>
              <w:t>FBC</w:t>
            </w:r>
            <w:r w:rsidR="00DE4BD9">
              <w:rPr>
                <w:rFonts w:ascii="Calibri" w:hAnsi="Calibri" w:cs="Calibri"/>
                <w:sz w:val="24"/>
                <w:szCs w:val="24"/>
              </w:rPr>
              <w:t xml:space="preserve"> -</w:t>
            </w:r>
            <w:r>
              <w:rPr>
                <w:rFonts w:ascii="Calibri" w:hAnsi="Calibri" w:cs="Calibri"/>
                <w:sz w:val="24"/>
                <w:szCs w:val="24"/>
              </w:rPr>
              <w:t xml:space="preserve"> Residential</w:t>
            </w:r>
          </w:p>
          <w:p w:rsidR="004E5D58" w:rsidRPr="004E5D58" w:rsidRDefault="00C17FF1" w:rsidP="004E5D58">
            <w:pPr>
              <w:kinsoku w:val="0"/>
              <w:overflowPunct w:val="0"/>
              <w:autoSpaceDE w:val="0"/>
              <w:autoSpaceDN w:val="0"/>
              <w:adjustRightInd w:val="0"/>
              <w:ind w:left="39"/>
              <w:jc w:val="center"/>
              <w:rPr>
                <w:rFonts w:ascii="Calibri" w:hAnsi="Calibri" w:cs="Calibri"/>
                <w:sz w:val="24"/>
                <w:szCs w:val="24"/>
              </w:rPr>
            </w:pPr>
            <w:r>
              <w:rPr>
                <w:rFonts w:ascii="Calibri" w:hAnsi="Calibri" w:cs="Calibri"/>
                <w:sz w:val="24"/>
                <w:szCs w:val="24"/>
              </w:rPr>
              <w:t>Sec</w:t>
            </w:r>
            <w:r w:rsidR="004E5D58" w:rsidRPr="004E5D58">
              <w:rPr>
                <w:rFonts w:ascii="Calibri" w:hAnsi="Calibri" w:cs="Calibri"/>
                <w:sz w:val="24"/>
                <w:szCs w:val="24"/>
              </w:rPr>
              <w:t xml:space="preserve"> </w:t>
            </w:r>
            <w:r>
              <w:rPr>
                <w:rFonts w:ascii="Calibri" w:hAnsi="Calibri" w:cs="Calibri"/>
                <w:sz w:val="24"/>
                <w:szCs w:val="24"/>
              </w:rPr>
              <w:t>R</w:t>
            </w:r>
            <w:r w:rsidR="004E5D58" w:rsidRPr="004E5D58">
              <w:rPr>
                <w:rFonts w:ascii="Calibri" w:hAnsi="Calibri" w:cs="Calibri"/>
                <w:sz w:val="24"/>
                <w:szCs w:val="24"/>
              </w:rPr>
              <w:t>4501.16</w:t>
            </w:r>
          </w:p>
          <w:p w:rsidR="00F15932" w:rsidRPr="00F15932" w:rsidRDefault="00F15932" w:rsidP="003B6EFE">
            <w:pPr>
              <w:jc w:val="center"/>
              <w:rPr>
                <w:sz w:val="16"/>
                <w:szCs w:val="16"/>
              </w:rPr>
            </w:pPr>
          </w:p>
        </w:tc>
        <w:tc>
          <w:tcPr>
            <w:tcW w:w="6790" w:type="dxa"/>
            <w:shd w:val="clear" w:color="auto" w:fill="auto"/>
            <w:vAlign w:val="center"/>
          </w:tcPr>
          <w:p w:rsidR="00F15932" w:rsidRPr="004E5D58" w:rsidRDefault="004E5D58" w:rsidP="003B6EFE">
            <w:pPr>
              <w:jc w:val="center"/>
            </w:pPr>
            <w:r w:rsidRPr="004E5D58">
              <w:t>Maximum voltage requirements for private swimming or bathing pools.</w:t>
            </w:r>
          </w:p>
          <w:p w:rsidR="004E5D58" w:rsidRPr="004E5D58" w:rsidRDefault="004E5D58" w:rsidP="004E5D58">
            <w:pPr>
              <w:kinsoku w:val="0"/>
              <w:overflowPunct w:val="0"/>
              <w:autoSpaceDE w:val="0"/>
              <w:autoSpaceDN w:val="0"/>
              <w:adjustRightInd w:val="0"/>
              <w:spacing w:before="80" w:line="216" w:lineRule="auto"/>
              <w:ind w:left="39" w:right="656"/>
              <w:jc w:val="both"/>
              <w:rPr>
                <w:rFonts w:ascii="Calibri" w:hAnsi="Calibri" w:cs="Calibri"/>
              </w:rPr>
            </w:pPr>
            <w:bookmarkStart w:id="18" w:name="6._R4501.16.1_FBC,_Residential,_7th_Edit"/>
            <w:bookmarkStart w:id="19" w:name="R4501.16_Electrical."/>
            <w:bookmarkEnd w:id="18"/>
            <w:bookmarkEnd w:id="19"/>
            <w:r w:rsidRPr="004E5D58">
              <w:rPr>
                <w:rFonts w:ascii="Calibri" w:hAnsi="Calibri" w:cs="Calibri"/>
                <w:u w:val="single" w:color="000000"/>
              </w:rPr>
              <w:t>R4501.16.1 Maximum voltage. The maximum voltage for each luminaire in any private</w:t>
            </w:r>
            <w:r w:rsidRPr="004E5D58">
              <w:rPr>
                <w:rFonts w:ascii="Calibri" w:hAnsi="Calibri" w:cs="Calibri"/>
              </w:rPr>
              <w:t xml:space="preserve"> </w:t>
            </w:r>
            <w:r w:rsidRPr="004E5D58">
              <w:rPr>
                <w:rFonts w:ascii="Calibri" w:hAnsi="Calibri" w:cs="Calibri"/>
                <w:u w:val="single" w:color="000000"/>
              </w:rPr>
              <w:t>swimming or bathing pools shall not exceed the Low Voltage Contact Limit, which is defined</w:t>
            </w:r>
            <w:r w:rsidRPr="004E5D58">
              <w:rPr>
                <w:rFonts w:ascii="Calibri" w:hAnsi="Calibri" w:cs="Calibri"/>
              </w:rPr>
              <w:t xml:space="preserve"> </w:t>
            </w:r>
            <w:r w:rsidRPr="004E5D58">
              <w:rPr>
                <w:rFonts w:ascii="Calibri" w:hAnsi="Calibri" w:cs="Calibri"/>
                <w:u w:val="single" w:color="000000"/>
              </w:rPr>
              <w:t>as a voltage not exceeding the following values:</w:t>
            </w:r>
          </w:p>
          <w:p w:rsidR="004E5D58" w:rsidRPr="004E5D58" w:rsidRDefault="004E5D58" w:rsidP="004E5D58">
            <w:pPr>
              <w:kinsoku w:val="0"/>
              <w:overflowPunct w:val="0"/>
              <w:autoSpaceDE w:val="0"/>
              <w:autoSpaceDN w:val="0"/>
              <w:adjustRightInd w:val="0"/>
              <w:rPr>
                <w:rFonts w:ascii="Calibri" w:hAnsi="Calibri" w:cs="Calibri"/>
              </w:rPr>
            </w:pPr>
          </w:p>
          <w:p w:rsidR="004E5D58" w:rsidRPr="004E5D58" w:rsidRDefault="004E5D58" w:rsidP="004E5D58">
            <w:pPr>
              <w:numPr>
                <w:ilvl w:val="0"/>
                <w:numId w:val="1"/>
              </w:numPr>
              <w:tabs>
                <w:tab w:val="left" w:pos="820"/>
              </w:tabs>
              <w:kinsoku w:val="0"/>
              <w:overflowPunct w:val="0"/>
              <w:autoSpaceDE w:val="0"/>
              <w:autoSpaceDN w:val="0"/>
              <w:adjustRightInd w:val="0"/>
              <w:spacing w:before="11"/>
              <w:ind w:hanging="440"/>
              <w:rPr>
                <w:rFonts w:ascii="Calibri" w:hAnsi="Calibri" w:cs="Calibri"/>
              </w:rPr>
            </w:pPr>
            <w:r w:rsidRPr="004E5D58">
              <w:rPr>
                <w:rFonts w:ascii="Calibri" w:hAnsi="Calibri" w:cs="Calibri"/>
                <w:u w:val="single" w:color="000000"/>
              </w:rPr>
              <w:t>15 volts (RMS) for sinusoidal alternating</w:t>
            </w:r>
            <w:r w:rsidRPr="004E5D58">
              <w:rPr>
                <w:rFonts w:ascii="Calibri" w:hAnsi="Calibri" w:cs="Calibri"/>
                <w:spacing w:val="3"/>
                <w:u w:val="single" w:color="000000"/>
              </w:rPr>
              <w:t xml:space="preserve"> </w:t>
            </w:r>
            <w:r w:rsidRPr="004E5D58">
              <w:rPr>
                <w:rFonts w:ascii="Calibri" w:hAnsi="Calibri" w:cs="Calibri"/>
                <w:u w:val="single" w:color="000000"/>
              </w:rPr>
              <w:t>current</w:t>
            </w:r>
          </w:p>
          <w:p w:rsidR="004E5D58" w:rsidRPr="004E5D58" w:rsidRDefault="004E5D58" w:rsidP="004E5D58">
            <w:pPr>
              <w:numPr>
                <w:ilvl w:val="0"/>
                <w:numId w:val="1"/>
              </w:numPr>
              <w:tabs>
                <w:tab w:val="left" w:pos="820"/>
              </w:tabs>
              <w:kinsoku w:val="0"/>
              <w:overflowPunct w:val="0"/>
              <w:autoSpaceDE w:val="0"/>
              <w:autoSpaceDN w:val="0"/>
              <w:adjustRightInd w:val="0"/>
              <w:spacing w:before="39"/>
              <w:ind w:hanging="440"/>
              <w:rPr>
                <w:rFonts w:ascii="Calibri" w:hAnsi="Calibri" w:cs="Calibri"/>
              </w:rPr>
            </w:pPr>
            <w:r w:rsidRPr="004E5D58">
              <w:rPr>
                <w:rFonts w:ascii="Calibri" w:hAnsi="Calibri" w:cs="Calibri"/>
                <w:u w:val="single" w:color="000000"/>
              </w:rPr>
              <w:t xml:space="preserve">21.2 volts peak for </w:t>
            </w:r>
            <w:proofErr w:type="spellStart"/>
            <w:r w:rsidRPr="004E5D58">
              <w:rPr>
                <w:rFonts w:ascii="Calibri" w:hAnsi="Calibri" w:cs="Calibri"/>
                <w:u w:val="single" w:color="000000"/>
              </w:rPr>
              <w:t>nonsinusoidal</w:t>
            </w:r>
            <w:proofErr w:type="spellEnd"/>
            <w:r w:rsidRPr="004E5D58">
              <w:rPr>
                <w:rFonts w:ascii="Calibri" w:hAnsi="Calibri" w:cs="Calibri"/>
                <w:u w:val="single" w:color="000000"/>
              </w:rPr>
              <w:t xml:space="preserve"> alternating</w:t>
            </w:r>
            <w:r w:rsidRPr="004E5D58">
              <w:rPr>
                <w:rFonts w:ascii="Calibri" w:hAnsi="Calibri" w:cs="Calibri"/>
                <w:spacing w:val="2"/>
                <w:u w:val="single" w:color="000000"/>
              </w:rPr>
              <w:t xml:space="preserve"> </w:t>
            </w:r>
            <w:r w:rsidRPr="004E5D58">
              <w:rPr>
                <w:rFonts w:ascii="Calibri" w:hAnsi="Calibri" w:cs="Calibri"/>
                <w:u w:val="single" w:color="000000"/>
              </w:rPr>
              <w:t>current</w:t>
            </w:r>
          </w:p>
          <w:p w:rsidR="004E5D58" w:rsidRPr="004E5D58" w:rsidRDefault="004E5D58" w:rsidP="004E5D58">
            <w:pPr>
              <w:numPr>
                <w:ilvl w:val="0"/>
                <w:numId w:val="1"/>
              </w:numPr>
              <w:tabs>
                <w:tab w:val="left" w:pos="820"/>
              </w:tabs>
              <w:kinsoku w:val="0"/>
              <w:overflowPunct w:val="0"/>
              <w:autoSpaceDE w:val="0"/>
              <w:autoSpaceDN w:val="0"/>
              <w:adjustRightInd w:val="0"/>
              <w:spacing w:before="39" w:line="271" w:lineRule="auto"/>
              <w:ind w:left="380" w:right="152"/>
              <w:rPr>
                <w:rFonts w:ascii="Calibri" w:hAnsi="Calibri" w:cs="Calibri"/>
              </w:rPr>
            </w:pPr>
            <w:r w:rsidRPr="004E5D58">
              <w:rPr>
                <w:rFonts w:ascii="Calibri" w:hAnsi="Calibri" w:cs="Calibri"/>
                <w:u w:val="single" w:color="000000"/>
              </w:rPr>
              <w:t>30 volts continuous direct</w:t>
            </w:r>
            <w:r w:rsidRPr="004E5D58">
              <w:rPr>
                <w:rFonts w:ascii="Calibri" w:hAnsi="Calibri" w:cs="Calibri"/>
                <w:spacing w:val="3"/>
                <w:u w:val="single" w:color="000000"/>
              </w:rPr>
              <w:t xml:space="preserve"> </w:t>
            </w:r>
            <w:r w:rsidRPr="004E5D58">
              <w:rPr>
                <w:rFonts w:ascii="Calibri" w:hAnsi="Calibri" w:cs="Calibri"/>
                <w:u w:val="single" w:color="000000"/>
              </w:rPr>
              <w:t>current</w:t>
            </w:r>
          </w:p>
          <w:p w:rsidR="004E5D58" w:rsidRPr="004E5D58" w:rsidRDefault="004E5D58" w:rsidP="004E5D58">
            <w:pPr>
              <w:numPr>
                <w:ilvl w:val="0"/>
                <w:numId w:val="1"/>
              </w:numPr>
              <w:tabs>
                <w:tab w:val="left" w:pos="820"/>
              </w:tabs>
              <w:kinsoku w:val="0"/>
              <w:overflowPunct w:val="0"/>
              <w:autoSpaceDE w:val="0"/>
              <w:autoSpaceDN w:val="0"/>
              <w:adjustRightInd w:val="0"/>
              <w:spacing w:before="39" w:line="271" w:lineRule="auto"/>
              <w:ind w:left="380" w:right="152"/>
              <w:rPr>
                <w:rFonts w:ascii="Calibri" w:hAnsi="Calibri" w:cs="Calibri"/>
              </w:rPr>
            </w:pPr>
            <w:r w:rsidRPr="004E5D58">
              <w:rPr>
                <w:rFonts w:ascii="Calibri" w:hAnsi="Calibri" w:cs="Calibri"/>
                <w:u w:val="single" w:color="000000"/>
              </w:rPr>
              <w:t>12.4</w:t>
            </w:r>
            <w:r w:rsidRPr="004E5D58">
              <w:rPr>
                <w:rFonts w:ascii="Calibri" w:hAnsi="Calibri" w:cs="Calibri"/>
                <w:spacing w:val="27"/>
                <w:u w:val="single" w:color="000000"/>
              </w:rPr>
              <w:t xml:space="preserve"> </w:t>
            </w:r>
            <w:r w:rsidRPr="004E5D58">
              <w:rPr>
                <w:rFonts w:ascii="Calibri" w:hAnsi="Calibri" w:cs="Calibri"/>
                <w:u w:val="single" w:color="000000"/>
              </w:rPr>
              <w:t>volts</w:t>
            </w:r>
            <w:r w:rsidRPr="004E5D58">
              <w:rPr>
                <w:rFonts w:ascii="Calibri" w:hAnsi="Calibri" w:cs="Calibri"/>
                <w:spacing w:val="24"/>
                <w:u w:val="single" w:color="000000"/>
              </w:rPr>
              <w:t xml:space="preserve"> </w:t>
            </w:r>
            <w:r w:rsidRPr="004E5D58">
              <w:rPr>
                <w:rFonts w:ascii="Calibri" w:hAnsi="Calibri" w:cs="Calibri"/>
                <w:u w:val="single" w:color="000000"/>
              </w:rPr>
              <w:t>peak</w:t>
            </w:r>
            <w:r w:rsidRPr="004E5D58">
              <w:rPr>
                <w:rFonts w:ascii="Calibri" w:hAnsi="Calibri" w:cs="Calibri"/>
                <w:spacing w:val="26"/>
                <w:u w:val="single" w:color="000000"/>
              </w:rPr>
              <w:t xml:space="preserve"> </w:t>
            </w:r>
            <w:r w:rsidRPr="004E5D58">
              <w:rPr>
                <w:rFonts w:ascii="Calibri" w:hAnsi="Calibri" w:cs="Calibri"/>
                <w:u w:val="single" w:color="000000"/>
              </w:rPr>
              <w:t>for</w:t>
            </w:r>
            <w:r w:rsidRPr="004E5D58">
              <w:rPr>
                <w:rFonts w:ascii="Calibri" w:hAnsi="Calibri" w:cs="Calibri"/>
                <w:spacing w:val="27"/>
                <w:u w:val="single" w:color="000000"/>
              </w:rPr>
              <w:t xml:space="preserve"> </w:t>
            </w:r>
            <w:r w:rsidRPr="004E5D58">
              <w:rPr>
                <w:rFonts w:ascii="Calibri" w:hAnsi="Calibri" w:cs="Calibri"/>
                <w:u w:val="single" w:color="000000"/>
              </w:rPr>
              <w:t>direct</w:t>
            </w:r>
            <w:r w:rsidRPr="004E5D58">
              <w:rPr>
                <w:rFonts w:ascii="Calibri" w:hAnsi="Calibri" w:cs="Calibri"/>
                <w:spacing w:val="28"/>
                <w:u w:val="single" w:color="000000"/>
              </w:rPr>
              <w:t xml:space="preserve"> </w:t>
            </w:r>
            <w:r w:rsidRPr="004E5D58">
              <w:rPr>
                <w:rFonts w:ascii="Calibri" w:hAnsi="Calibri" w:cs="Calibri"/>
                <w:u w:val="single" w:color="000000"/>
              </w:rPr>
              <w:t>current</w:t>
            </w:r>
            <w:r w:rsidRPr="004E5D58">
              <w:rPr>
                <w:rFonts w:ascii="Calibri" w:hAnsi="Calibri" w:cs="Calibri"/>
                <w:spacing w:val="25"/>
                <w:u w:val="single" w:color="000000"/>
              </w:rPr>
              <w:t xml:space="preserve"> </w:t>
            </w:r>
            <w:r w:rsidRPr="004E5D58">
              <w:rPr>
                <w:rFonts w:ascii="Calibri" w:hAnsi="Calibri" w:cs="Calibri"/>
                <w:u w:val="single" w:color="000000"/>
              </w:rPr>
              <w:t>that</w:t>
            </w:r>
            <w:r w:rsidRPr="004E5D58">
              <w:rPr>
                <w:rFonts w:ascii="Calibri" w:hAnsi="Calibri" w:cs="Calibri"/>
                <w:spacing w:val="29"/>
                <w:u w:val="single" w:color="000000"/>
              </w:rPr>
              <w:t xml:space="preserve"> </w:t>
            </w:r>
            <w:r w:rsidRPr="004E5D58">
              <w:rPr>
                <w:rFonts w:ascii="Calibri" w:hAnsi="Calibri" w:cs="Calibri"/>
                <w:u w:val="single" w:color="000000"/>
              </w:rPr>
              <w:t>is</w:t>
            </w:r>
            <w:r w:rsidRPr="004E5D58">
              <w:rPr>
                <w:rFonts w:ascii="Calibri" w:hAnsi="Calibri" w:cs="Calibri"/>
                <w:spacing w:val="27"/>
                <w:u w:val="single" w:color="000000"/>
              </w:rPr>
              <w:t xml:space="preserve"> </w:t>
            </w:r>
            <w:r w:rsidRPr="004E5D58">
              <w:rPr>
                <w:rFonts w:ascii="Calibri" w:hAnsi="Calibri" w:cs="Calibri"/>
                <w:u w:val="single" w:color="000000"/>
              </w:rPr>
              <w:t>interrupted</w:t>
            </w:r>
            <w:r w:rsidRPr="004E5D58">
              <w:rPr>
                <w:rFonts w:ascii="Calibri" w:hAnsi="Calibri" w:cs="Calibri"/>
                <w:spacing w:val="28"/>
                <w:u w:val="single" w:color="000000"/>
              </w:rPr>
              <w:t xml:space="preserve"> </w:t>
            </w:r>
            <w:r w:rsidRPr="004E5D58">
              <w:rPr>
                <w:rFonts w:ascii="Calibri" w:hAnsi="Calibri" w:cs="Calibri"/>
                <w:u w:val="single" w:color="000000"/>
              </w:rPr>
              <w:t>at</w:t>
            </w:r>
            <w:r w:rsidRPr="004E5D58">
              <w:rPr>
                <w:rFonts w:ascii="Calibri" w:hAnsi="Calibri" w:cs="Calibri"/>
                <w:spacing w:val="26"/>
                <w:u w:val="single" w:color="000000"/>
              </w:rPr>
              <w:t xml:space="preserve"> </w:t>
            </w:r>
            <w:r w:rsidRPr="004E5D58">
              <w:rPr>
                <w:rFonts w:ascii="Calibri" w:hAnsi="Calibri" w:cs="Calibri"/>
                <w:u w:val="single" w:color="000000"/>
              </w:rPr>
              <w:t>a</w:t>
            </w:r>
            <w:r w:rsidRPr="004E5D58">
              <w:rPr>
                <w:rFonts w:ascii="Calibri" w:hAnsi="Calibri" w:cs="Calibri"/>
                <w:spacing w:val="27"/>
                <w:u w:val="single" w:color="000000"/>
              </w:rPr>
              <w:t xml:space="preserve"> </w:t>
            </w:r>
            <w:r w:rsidRPr="004E5D58">
              <w:rPr>
                <w:rFonts w:ascii="Calibri" w:hAnsi="Calibri" w:cs="Calibri"/>
                <w:u w:val="single" w:color="000000"/>
              </w:rPr>
              <w:t>rate</w:t>
            </w:r>
            <w:r w:rsidRPr="004E5D58">
              <w:rPr>
                <w:rFonts w:ascii="Calibri" w:hAnsi="Calibri" w:cs="Calibri"/>
                <w:spacing w:val="27"/>
                <w:u w:val="single" w:color="000000"/>
              </w:rPr>
              <w:t xml:space="preserve"> </w:t>
            </w:r>
            <w:r w:rsidRPr="004E5D58">
              <w:rPr>
                <w:rFonts w:ascii="Calibri" w:hAnsi="Calibri" w:cs="Calibri"/>
                <w:u w:val="single" w:color="000000"/>
              </w:rPr>
              <w:t>of</w:t>
            </w:r>
            <w:r w:rsidRPr="004E5D58">
              <w:rPr>
                <w:rFonts w:ascii="Calibri" w:hAnsi="Calibri" w:cs="Calibri"/>
                <w:spacing w:val="29"/>
                <w:u w:val="single" w:color="000000"/>
              </w:rPr>
              <w:t xml:space="preserve"> </w:t>
            </w:r>
            <w:r w:rsidRPr="004E5D58">
              <w:rPr>
                <w:rFonts w:ascii="Calibri" w:hAnsi="Calibri" w:cs="Calibri"/>
                <w:u w:val="single" w:color="000000"/>
              </w:rPr>
              <w:t>10</w:t>
            </w:r>
            <w:r w:rsidRPr="004E5D58">
              <w:rPr>
                <w:rFonts w:ascii="Calibri" w:hAnsi="Calibri" w:cs="Calibri"/>
                <w:spacing w:val="25"/>
                <w:u w:val="single" w:color="000000"/>
              </w:rPr>
              <w:t xml:space="preserve"> </w:t>
            </w:r>
            <w:r w:rsidRPr="004E5D58">
              <w:rPr>
                <w:rFonts w:ascii="Calibri" w:hAnsi="Calibri" w:cs="Calibri"/>
                <w:u w:val="single" w:color="000000"/>
              </w:rPr>
              <w:t>to</w:t>
            </w:r>
            <w:r w:rsidRPr="004E5D58">
              <w:rPr>
                <w:rFonts w:ascii="Calibri" w:hAnsi="Calibri" w:cs="Calibri"/>
                <w:spacing w:val="25"/>
                <w:u w:val="single" w:color="000000"/>
              </w:rPr>
              <w:t xml:space="preserve"> </w:t>
            </w:r>
            <w:r w:rsidRPr="004E5D58">
              <w:rPr>
                <w:rFonts w:ascii="Calibri" w:hAnsi="Calibri" w:cs="Calibri"/>
                <w:u w:val="single" w:color="000000"/>
              </w:rPr>
              <w:t>200</w:t>
            </w:r>
            <w:r w:rsidRPr="004E5D58">
              <w:rPr>
                <w:rFonts w:ascii="Calibri" w:hAnsi="Calibri" w:cs="Calibri"/>
                <w:spacing w:val="27"/>
                <w:u w:val="single" w:color="000000"/>
              </w:rPr>
              <w:t xml:space="preserve"> </w:t>
            </w:r>
            <w:r w:rsidRPr="004E5D58">
              <w:rPr>
                <w:rFonts w:ascii="Calibri" w:hAnsi="Calibri" w:cs="Calibri"/>
                <w:u w:val="single" w:color="000000"/>
              </w:rPr>
              <w:t>Hertz</w:t>
            </w:r>
            <w:r w:rsidRPr="004E5D58">
              <w:rPr>
                <w:rFonts w:ascii="Calibri" w:hAnsi="Calibri" w:cs="Calibri"/>
                <w:spacing w:val="26"/>
                <w:u w:val="single" w:color="000000"/>
              </w:rPr>
              <w:t xml:space="preserve"> </w:t>
            </w:r>
            <w:proofErr w:type="gramStart"/>
            <w:r w:rsidRPr="004E5D58">
              <w:rPr>
                <w:rFonts w:ascii="Calibri" w:hAnsi="Calibri" w:cs="Calibri"/>
                <w:u w:val="single" w:color="000000"/>
              </w:rPr>
              <w:t>The</w:t>
            </w:r>
            <w:proofErr w:type="gramEnd"/>
            <w:r w:rsidRPr="004E5D58">
              <w:rPr>
                <w:rFonts w:ascii="Calibri" w:hAnsi="Calibri" w:cs="Calibri"/>
                <w:spacing w:val="1"/>
                <w:u w:val="single" w:color="000000"/>
              </w:rPr>
              <w:t xml:space="preserve"> </w:t>
            </w:r>
            <w:r w:rsidRPr="004E5D58">
              <w:rPr>
                <w:rFonts w:ascii="Calibri" w:hAnsi="Calibri" w:cs="Calibri"/>
                <w:u w:val="single" w:color="000000"/>
              </w:rPr>
              <w:t>maximum</w:t>
            </w:r>
            <w:r w:rsidRPr="004E5D58">
              <w:rPr>
                <w:rFonts w:ascii="Calibri" w:hAnsi="Calibri" w:cs="Calibri"/>
                <w:spacing w:val="1"/>
                <w:u w:val="single" w:color="000000"/>
              </w:rPr>
              <w:t xml:space="preserve"> </w:t>
            </w:r>
            <w:r w:rsidRPr="004E5D58">
              <w:rPr>
                <w:rFonts w:ascii="Calibri" w:hAnsi="Calibri" w:cs="Calibri"/>
                <w:u w:val="single" w:color="000000"/>
              </w:rPr>
              <w:t>incandescent</w:t>
            </w:r>
            <w:r w:rsidRPr="004E5D58">
              <w:rPr>
                <w:rFonts w:ascii="Calibri" w:hAnsi="Calibri" w:cs="Calibri"/>
                <w:spacing w:val="-1"/>
                <w:u w:val="single" w:color="000000"/>
              </w:rPr>
              <w:t xml:space="preserve"> </w:t>
            </w:r>
            <w:r w:rsidRPr="004E5D58">
              <w:rPr>
                <w:rFonts w:ascii="Calibri" w:hAnsi="Calibri" w:cs="Calibri"/>
                <w:u w:val="single" w:color="000000"/>
              </w:rPr>
              <w:t>lamp</w:t>
            </w:r>
            <w:r w:rsidRPr="004E5D58">
              <w:rPr>
                <w:rFonts w:ascii="Calibri" w:hAnsi="Calibri" w:cs="Calibri"/>
                <w:spacing w:val="2"/>
                <w:u w:val="single" w:color="000000"/>
              </w:rPr>
              <w:t xml:space="preserve"> </w:t>
            </w:r>
            <w:r w:rsidRPr="004E5D58">
              <w:rPr>
                <w:rFonts w:ascii="Calibri" w:hAnsi="Calibri" w:cs="Calibri"/>
                <w:u w:val="single" w:color="000000"/>
              </w:rPr>
              <w:t>size</w:t>
            </w:r>
            <w:r w:rsidRPr="004E5D58">
              <w:rPr>
                <w:rFonts w:ascii="Calibri" w:hAnsi="Calibri" w:cs="Calibri"/>
                <w:spacing w:val="1"/>
                <w:u w:val="single" w:color="000000"/>
              </w:rPr>
              <w:t xml:space="preserve"> </w:t>
            </w:r>
            <w:r w:rsidRPr="004E5D58">
              <w:rPr>
                <w:rFonts w:ascii="Calibri" w:hAnsi="Calibri" w:cs="Calibri"/>
                <w:u w:val="single" w:color="000000"/>
              </w:rPr>
              <w:t>shall</w:t>
            </w:r>
            <w:r w:rsidRPr="004E5D58">
              <w:rPr>
                <w:rFonts w:ascii="Calibri" w:hAnsi="Calibri" w:cs="Calibri"/>
                <w:spacing w:val="1"/>
                <w:u w:val="single" w:color="000000"/>
              </w:rPr>
              <w:t xml:space="preserve"> </w:t>
            </w:r>
            <w:r w:rsidRPr="004E5D58">
              <w:rPr>
                <w:rFonts w:ascii="Calibri" w:hAnsi="Calibri" w:cs="Calibri"/>
                <w:u w:val="single" w:color="000000"/>
              </w:rPr>
              <w:t>be</w:t>
            </w:r>
            <w:r w:rsidRPr="004E5D58">
              <w:rPr>
                <w:rFonts w:ascii="Calibri" w:hAnsi="Calibri" w:cs="Calibri"/>
                <w:spacing w:val="1"/>
                <w:u w:val="single" w:color="000000"/>
              </w:rPr>
              <w:t xml:space="preserve"> </w:t>
            </w:r>
            <w:r w:rsidRPr="004E5D58">
              <w:rPr>
                <w:rFonts w:ascii="Calibri" w:hAnsi="Calibri" w:cs="Calibri"/>
                <w:u w:val="single" w:color="000000"/>
              </w:rPr>
              <w:t>300</w:t>
            </w:r>
            <w:r w:rsidRPr="004E5D58">
              <w:rPr>
                <w:rFonts w:ascii="Calibri" w:hAnsi="Calibri" w:cs="Calibri"/>
                <w:spacing w:val="-1"/>
                <w:u w:val="single" w:color="000000"/>
              </w:rPr>
              <w:t xml:space="preserve"> </w:t>
            </w:r>
            <w:r w:rsidRPr="004E5D58">
              <w:rPr>
                <w:rFonts w:ascii="Calibri" w:hAnsi="Calibri" w:cs="Calibri"/>
                <w:u w:val="single" w:color="000000"/>
              </w:rPr>
              <w:t>watts.</w:t>
            </w:r>
          </w:p>
          <w:p w:rsidR="004E5D58" w:rsidRPr="004E5D58" w:rsidRDefault="004E5D58" w:rsidP="003B6EFE">
            <w:pPr>
              <w:jc w:val="center"/>
            </w:pPr>
          </w:p>
        </w:tc>
        <w:tc>
          <w:tcPr>
            <w:tcW w:w="2937" w:type="dxa"/>
            <w:shd w:val="clear" w:color="auto" w:fill="auto"/>
            <w:vAlign w:val="center"/>
          </w:tcPr>
          <w:p w:rsidR="00F15932" w:rsidRDefault="0056787F" w:rsidP="003B6EFE">
            <w:pPr>
              <w:jc w:val="center"/>
              <w:rPr>
                <w:b/>
              </w:rPr>
            </w:pPr>
            <w:r>
              <w:rPr>
                <w:b/>
              </w:rPr>
              <w:lastRenderedPageBreak/>
              <w:t>Holland to Deny  2</w:t>
            </w:r>
            <w:r w:rsidRPr="0056787F">
              <w:rPr>
                <w:b/>
                <w:vertAlign w:val="superscript"/>
              </w:rPr>
              <w:t>nd</w:t>
            </w:r>
            <w:r>
              <w:rPr>
                <w:b/>
              </w:rPr>
              <w:t xml:space="preserve"> Fischer  </w:t>
            </w:r>
            <w:r w:rsidRPr="0056787F">
              <w:rPr>
                <w:b/>
              </w:rPr>
              <w:t>VOTE:</w:t>
            </w:r>
            <w:r>
              <w:rPr>
                <w:b/>
              </w:rPr>
              <w:t>9 Yes – 0 No</w:t>
            </w:r>
          </w:p>
          <w:p w:rsidR="001B109F" w:rsidRPr="004E5D58" w:rsidRDefault="001B109F" w:rsidP="003B6EFE">
            <w:pPr>
              <w:jc w:val="center"/>
              <w:rPr>
                <w:sz w:val="24"/>
                <w:szCs w:val="24"/>
              </w:rPr>
            </w:pPr>
            <w:r w:rsidRPr="00DE5AB7">
              <w:rPr>
                <w:b/>
              </w:rPr>
              <w:t>Commission Action to Deny Vote: 13-0</w:t>
            </w:r>
            <w:bookmarkStart w:id="20" w:name="_GoBack"/>
            <w:bookmarkEnd w:id="20"/>
          </w:p>
        </w:tc>
      </w:tr>
    </w:tbl>
    <w:p w:rsidR="002B0E65" w:rsidRDefault="002B0E65"/>
    <w:sectPr w:rsidR="002B0E65" w:rsidSect="00F177D8">
      <w:pgSz w:w="15840" w:h="12240" w:orient="landscape"/>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820" w:hanging="365"/>
      </w:pPr>
      <w:rPr>
        <w:rFonts w:ascii="Calibri" w:hAnsi="Calibri" w:cs="Calibri"/>
        <w:b w:val="0"/>
        <w:bCs w:val="0"/>
        <w:spacing w:val="-11"/>
        <w:w w:val="100"/>
        <w:sz w:val="24"/>
        <w:szCs w:val="24"/>
      </w:rPr>
    </w:lvl>
    <w:lvl w:ilvl="1">
      <w:numFmt w:val="bullet"/>
      <w:lvlText w:val="•"/>
      <w:lvlJc w:val="left"/>
      <w:pPr>
        <w:ind w:left="1696" w:hanging="365"/>
      </w:pPr>
    </w:lvl>
    <w:lvl w:ilvl="2">
      <w:numFmt w:val="bullet"/>
      <w:lvlText w:val="•"/>
      <w:lvlJc w:val="left"/>
      <w:pPr>
        <w:ind w:left="2572" w:hanging="365"/>
      </w:pPr>
    </w:lvl>
    <w:lvl w:ilvl="3">
      <w:numFmt w:val="bullet"/>
      <w:lvlText w:val="•"/>
      <w:lvlJc w:val="left"/>
      <w:pPr>
        <w:ind w:left="3448" w:hanging="365"/>
      </w:pPr>
    </w:lvl>
    <w:lvl w:ilvl="4">
      <w:numFmt w:val="bullet"/>
      <w:lvlText w:val="•"/>
      <w:lvlJc w:val="left"/>
      <w:pPr>
        <w:ind w:left="4324" w:hanging="365"/>
      </w:pPr>
    </w:lvl>
    <w:lvl w:ilvl="5">
      <w:numFmt w:val="bullet"/>
      <w:lvlText w:val="•"/>
      <w:lvlJc w:val="left"/>
      <w:pPr>
        <w:ind w:left="5200" w:hanging="365"/>
      </w:pPr>
    </w:lvl>
    <w:lvl w:ilvl="6">
      <w:numFmt w:val="bullet"/>
      <w:lvlText w:val="•"/>
      <w:lvlJc w:val="left"/>
      <w:pPr>
        <w:ind w:left="6076" w:hanging="365"/>
      </w:pPr>
    </w:lvl>
    <w:lvl w:ilvl="7">
      <w:numFmt w:val="bullet"/>
      <w:lvlText w:val="•"/>
      <w:lvlJc w:val="left"/>
      <w:pPr>
        <w:ind w:left="6952" w:hanging="365"/>
      </w:pPr>
    </w:lvl>
    <w:lvl w:ilvl="8">
      <w:numFmt w:val="bullet"/>
      <w:lvlText w:val="•"/>
      <w:lvlJc w:val="left"/>
      <w:pPr>
        <w:ind w:left="7828" w:hanging="36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FE"/>
    <w:rsid w:val="000121C4"/>
    <w:rsid w:val="00013176"/>
    <w:rsid w:val="000660B8"/>
    <w:rsid w:val="00132CC5"/>
    <w:rsid w:val="001B109F"/>
    <w:rsid w:val="001F20CA"/>
    <w:rsid w:val="002415EC"/>
    <w:rsid w:val="002B0E65"/>
    <w:rsid w:val="00377B4A"/>
    <w:rsid w:val="003B6EFE"/>
    <w:rsid w:val="00402711"/>
    <w:rsid w:val="004E5D58"/>
    <w:rsid w:val="0056787F"/>
    <w:rsid w:val="006F61B9"/>
    <w:rsid w:val="00822F76"/>
    <w:rsid w:val="008562CA"/>
    <w:rsid w:val="0090051A"/>
    <w:rsid w:val="0098460D"/>
    <w:rsid w:val="00995276"/>
    <w:rsid w:val="00A909F7"/>
    <w:rsid w:val="00B96722"/>
    <w:rsid w:val="00C17FF1"/>
    <w:rsid w:val="00C762B0"/>
    <w:rsid w:val="00D635F6"/>
    <w:rsid w:val="00DB3B22"/>
    <w:rsid w:val="00DE4BD9"/>
    <w:rsid w:val="00E86950"/>
    <w:rsid w:val="00E92BA3"/>
    <w:rsid w:val="00F15932"/>
    <w:rsid w:val="00F177D8"/>
    <w:rsid w:val="00F8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3979C-CFC0-482D-8AEA-ECEACFF2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13176"/>
    <w:pPr>
      <w:spacing w:after="120"/>
    </w:pPr>
  </w:style>
  <w:style w:type="character" w:customStyle="1" w:styleId="BodyTextChar">
    <w:name w:val="Body Text Char"/>
    <w:basedOn w:val="DefaultParagraphFont"/>
    <w:link w:val="BodyText"/>
    <w:uiPriority w:val="99"/>
    <w:semiHidden/>
    <w:rsid w:val="0001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Marlita</dc:creator>
  <cp:lastModifiedBy>Madani, Mo</cp:lastModifiedBy>
  <cp:revision>3</cp:revision>
  <dcterms:created xsi:type="dcterms:W3CDTF">2022-12-19T16:20:00Z</dcterms:created>
  <dcterms:modified xsi:type="dcterms:W3CDTF">2022-12-19T16:56:00Z</dcterms:modified>
</cp:coreProperties>
</file>