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CF92" w14:textId="46DF358F" w:rsidR="00FF4B82" w:rsidRDefault="00FF4B82" w:rsidP="00FF4B82">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 Special Occupancy Technical Advisory Committee – Errata/Glitch </w:t>
      </w:r>
    </w:p>
    <w:p w14:paraId="04E7AC2F" w14:textId="77777777" w:rsidR="00FF4B82" w:rsidRDefault="00FF4B82" w:rsidP="00FF4B82">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Building </w:t>
      </w:r>
    </w:p>
    <w:p w14:paraId="14FFCBF1" w14:textId="77777777" w:rsidR="00FF4B82" w:rsidRDefault="00FF4B82" w:rsidP="00FF4B82">
      <w:pPr>
        <w:widowControl/>
        <w:autoSpaceDE/>
        <w:rPr>
          <w:rFonts w:ascii="Arial" w:eastAsia="Calibri" w:hAnsi="Arial" w:cs="Arial"/>
          <w:b/>
          <w:bCs/>
          <w:sz w:val="24"/>
          <w:szCs w:val="24"/>
        </w:rPr>
      </w:pPr>
    </w:p>
    <w:p w14:paraId="1258DB13" w14:textId="1BF9AE52" w:rsidR="00FF4B82" w:rsidRPr="00FF4B82" w:rsidRDefault="00FF4B82" w:rsidP="00FF4B82">
      <w:pPr>
        <w:widowControl/>
        <w:adjustRightInd w:val="0"/>
        <w:rPr>
          <w:rFonts w:ascii="Arial" w:eastAsia="Calibri" w:hAnsi="Arial" w:cs="Arial"/>
          <w:b/>
          <w:bCs/>
          <w:sz w:val="24"/>
          <w:szCs w:val="24"/>
        </w:rPr>
      </w:pPr>
      <w:r w:rsidRPr="00FF4B82">
        <w:rPr>
          <w:rFonts w:ascii="Arial,Bold" w:eastAsiaTheme="minorHAnsi" w:hAnsi="Arial,Bold" w:cs="Arial,Bold"/>
          <w:b/>
          <w:bCs/>
          <w:sz w:val="24"/>
          <w:szCs w:val="24"/>
          <w14:ligatures w14:val="standardContextual"/>
        </w:rPr>
        <w:t>CHAPTER 4</w:t>
      </w:r>
      <w:r>
        <w:rPr>
          <w:rFonts w:ascii="Arial,Bold" w:eastAsiaTheme="minorHAnsi" w:hAnsi="Arial,Bold" w:cs="Arial,Bold"/>
          <w:b/>
          <w:bCs/>
          <w:sz w:val="24"/>
          <w:szCs w:val="24"/>
          <w14:ligatures w14:val="standardContextual"/>
        </w:rPr>
        <w:t xml:space="preserve"> </w:t>
      </w:r>
      <w:r w:rsidRPr="00FF4B82">
        <w:rPr>
          <w:rFonts w:ascii="Arial,Bold" w:eastAsiaTheme="minorHAnsi" w:hAnsi="Arial,Bold" w:cs="Arial,Bold"/>
          <w:b/>
          <w:bCs/>
          <w:sz w:val="24"/>
          <w:szCs w:val="24"/>
          <w14:ligatures w14:val="standardContextual"/>
        </w:rPr>
        <w:t>SPECIAL DETAILED REQUIREMENTS BASED</w:t>
      </w:r>
      <w:r>
        <w:rPr>
          <w:rFonts w:ascii="Arial,Bold" w:eastAsiaTheme="minorHAnsi" w:hAnsi="Arial,Bold" w:cs="Arial,Bold"/>
          <w:b/>
          <w:bCs/>
          <w:sz w:val="24"/>
          <w:szCs w:val="24"/>
          <w14:ligatures w14:val="standardContextual"/>
        </w:rPr>
        <w:t xml:space="preserve"> </w:t>
      </w:r>
      <w:r w:rsidRPr="00FF4B82">
        <w:rPr>
          <w:rFonts w:ascii="Arial,Bold" w:eastAsiaTheme="minorHAnsi" w:hAnsi="Arial,Bold" w:cs="Arial,Bold"/>
          <w:b/>
          <w:bCs/>
          <w:sz w:val="24"/>
          <w:szCs w:val="24"/>
          <w14:ligatures w14:val="standardContextual"/>
        </w:rPr>
        <w:t>ON OCCUPANCY AND USE</w:t>
      </w:r>
    </w:p>
    <w:p w14:paraId="0B488FA9" w14:textId="77777777" w:rsidR="00634BB0" w:rsidRDefault="00634BB0">
      <w:pPr>
        <w:rPr>
          <w:sz w:val="24"/>
          <w:szCs w:val="24"/>
        </w:rPr>
      </w:pPr>
    </w:p>
    <w:p w14:paraId="2A0E03A6" w14:textId="47E5D825" w:rsidR="00D30C98" w:rsidRDefault="00D30C98" w:rsidP="00D30C98">
      <w:pPr>
        <w:rPr>
          <w:sz w:val="24"/>
          <w:szCs w:val="24"/>
        </w:rPr>
      </w:pPr>
      <w:r w:rsidRPr="00D30C98">
        <w:rPr>
          <w:sz w:val="24"/>
          <w:szCs w:val="24"/>
        </w:rPr>
        <w:t>SECTION 451</w:t>
      </w:r>
      <w:r>
        <w:rPr>
          <w:sz w:val="24"/>
          <w:szCs w:val="24"/>
        </w:rPr>
        <w:t xml:space="preserve"> </w:t>
      </w:r>
      <w:r w:rsidRPr="00D30C98">
        <w:rPr>
          <w:sz w:val="24"/>
          <w:szCs w:val="24"/>
        </w:rPr>
        <w:t>AMBULATORY SURGICAL CENTERS</w:t>
      </w:r>
    </w:p>
    <w:p w14:paraId="75AD7C1B" w14:textId="77777777" w:rsidR="00D30C98" w:rsidRDefault="00D30C98" w:rsidP="00D30C98">
      <w:pPr>
        <w:rPr>
          <w:sz w:val="24"/>
          <w:szCs w:val="24"/>
        </w:rPr>
      </w:pPr>
    </w:p>
    <w:p w14:paraId="0D8958AE" w14:textId="2DEA1F5F" w:rsidR="00D30C98" w:rsidRDefault="00D30C98" w:rsidP="00D30C98">
      <w:pPr>
        <w:widowControl/>
        <w:adjustRightInd w:val="0"/>
        <w:rPr>
          <w:rFonts w:eastAsiaTheme="minorHAnsi"/>
          <w:color w:val="FF0000"/>
          <w14:ligatures w14:val="standardContextual"/>
        </w:rPr>
      </w:pPr>
      <w:bookmarkStart w:id="0" w:name="_Hlk147924698"/>
      <w:r>
        <w:rPr>
          <w:rFonts w:eastAsiaTheme="minorHAnsi"/>
          <w:color w:val="FF0000"/>
          <w14:ligatures w14:val="standardContextual"/>
        </w:rPr>
        <w:t>S</w:t>
      </w:r>
      <w:r w:rsidR="00D21CC0">
        <w:rPr>
          <w:rFonts w:eastAsiaTheme="minorHAnsi"/>
          <w:color w:val="FF0000"/>
          <w14:ligatures w14:val="standardContextual"/>
        </w:rPr>
        <w:t>P</w:t>
      </w:r>
      <w:r w:rsidRPr="005E63E4">
        <w:rPr>
          <w:rFonts w:eastAsiaTheme="minorHAnsi"/>
          <w:color w:val="FF0000"/>
          <w14:ligatures w14:val="standardContextual"/>
        </w:rPr>
        <w:t>-FBC</w:t>
      </w:r>
      <w:r w:rsidR="00B603B4">
        <w:rPr>
          <w:rFonts w:eastAsiaTheme="minorHAnsi"/>
          <w:color w:val="FF0000"/>
          <w14:ligatures w14:val="standardContextual"/>
        </w:rPr>
        <w:t xml:space="preserve"> –B </w:t>
      </w:r>
      <w:r w:rsidRPr="005E63E4">
        <w:rPr>
          <w:rFonts w:eastAsiaTheme="minorHAnsi"/>
          <w:color w:val="FF0000"/>
          <w14:ligatures w14:val="standardContextual"/>
        </w:rPr>
        <w:t>-</w:t>
      </w:r>
      <w:r w:rsidR="00B603B4">
        <w:rPr>
          <w:rFonts w:eastAsiaTheme="minorHAnsi"/>
          <w:color w:val="FF0000"/>
          <w14:ligatures w14:val="standardContextual"/>
        </w:rPr>
        <w:t xml:space="preserve"> </w:t>
      </w:r>
      <w:r>
        <w:rPr>
          <w:rFonts w:eastAsiaTheme="minorHAnsi"/>
          <w:color w:val="FF0000"/>
          <w14:ligatures w14:val="standardContextual"/>
        </w:rPr>
        <w:t>Ch. 4</w:t>
      </w:r>
      <w:r w:rsidRPr="005E63E4">
        <w:rPr>
          <w:rFonts w:eastAsiaTheme="minorHAnsi"/>
          <w:color w:val="FF0000"/>
          <w14:ligatures w14:val="standardContextual"/>
        </w:rPr>
        <w:t xml:space="preserve"> – Errata </w:t>
      </w:r>
      <w:r w:rsidR="00B603B4">
        <w:rPr>
          <w:rFonts w:eastAsiaTheme="minorHAnsi"/>
          <w:color w:val="FF0000"/>
          <w14:ligatures w14:val="standardContextual"/>
        </w:rPr>
        <w:t>#1</w:t>
      </w:r>
    </w:p>
    <w:p w14:paraId="053F799E" w14:textId="77777777" w:rsidR="00D30C98" w:rsidRDefault="00D30C98" w:rsidP="00D30C98">
      <w:pPr>
        <w:widowControl/>
        <w:adjustRightInd w:val="0"/>
        <w:rPr>
          <w:rFonts w:eastAsiaTheme="minorHAnsi"/>
          <w:color w:val="FF0000"/>
          <w14:ligatures w14:val="standardContextual"/>
        </w:rPr>
      </w:pPr>
    </w:p>
    <w:p w14:paraId="4FD244EB" w14:textId="77777777" w:rsidR="00D30C98" w:rsidRPr="00B603B4" w:rsidRDefault="00D30C98" w:rsidP="00D30C98">
      <w:pPr>
        <w:widowControl/>
        <w:adjustRightInd w:val="0"/>
        <w:rPr>
          <w:rFonts w:eastAsiaTheme="minorHAnsi"/>
          <w:b/>
          <w:bCs/>
          <w14:ligatures w14:val="standardContextual"/>
        </w:rPr>
      </w:pPr>
      <w:r w:rsidRPr="00B603B4">
        <w:rPr>
          <w:rFonts w:eastAsiaTheme="minorHAnsi"/>
          <w:b/>
          <w:bCs/>
          <w14:ligatures w14:val="standardContextual"/>
        </w:rPr>
        <w:t xml:space="preserve">Staff </w:t>
      </w:r>
    </w:p>
    <w:p w14:paraId="455ED7A1" w14:textId="77777777" w:rsidR="00D30C98" w:rsidRDefault="00D30C98" w:rsidP="00D30C98">
      <w:pPr>
        <w:widowControl/>
        <w:adjustRightInd w:val="0"/>
        <w:rPr>
          <w:rFonts w:eastAsiaTheme="minorHAnsi"/>
          <w14:ligatures w14:val="standardContextual"/>
        </w:rPr>
      </w:pPr>
    </w:p>
    <w:p w14:paraId="5AFB3BFF" w14:textId="1D1E86AE" w:rsidR="00D30C98" w:rsidRDefault="0083003C" w:rsidP="00D30C98">
      <w:pPr>
        <w:widowControl/>
        <w:adjustRightInd w:val="0"/>
      </w:pPr>
      <w:r>
        <w:t>Section 451.3.16, anesthesia is misspelled.</w:t>
      </w:r>
    </w:p>
    <w:p w14:paraId="73CAC035" w14:textId="77777777" w:rsidR="00306CA6" w:rsidRDefault="00306CA6" w:rsidP="0083003C">
      <w:pPr>
        <w:widowControl/>
        <w:adjustRightInd w:val="0"/>
        <w:rPr>
          <w:rFonts w:ascii="TimesNewRoman,Bold" w:eastAsiaTheme="minorHAnsi" w:hAnsi="TimesNewRoman,Bold" w:cs="TimesNewRoman,Bold"/>
          <w:b/>
          <w:bCs/>
          <w:sz w:val="24"/>
          <w:szCs w:val="24"/>
          <w14:ligatures w14:val="standardContextual"/>
        </w:rPr>
      </w:pPr>
    </w:p>
    <w:p w14:paraId="039C8253" w14:textId="2314D8C7" w:rsidR="0083003C" w:rsidRPr="0083003C" w:rsidRDefault="0083003C" w:rsidP="0083003C">
      <w:pPr>
        <w:widowControl/>
        <w:adjustRightInd w:val="0"/>
        <w:rPr>
          <w:rFonts w:eastAsiaTheme="minorHAnsi"/>
          <w:sz w:val="24"/>
          <w:szCs w:val="24"/>
          <w14:ligatures w14:val="standardContextual"/>
        </w:rPr>
      </w:pPr>
      <w:r w:rsidRPr="0083003C">
        <w:rPr>
          <w:rFonts w:ascii="TimesNewRoman,Bold" w:eastAsiaTheme="minorHAnsi" w:hAnsi="TimesNewRoman,Bold" w:cs="TimesNewRoman,Bold"/>
          <w:b/>
          <w:bCs/>
          <w:sz w:val="24"/>
          <w:szCs w:val="24"/>
          <w14:ligatures w14:val="standardContextual"/>
        </w:rPr>
        <w:t xml:space="preserve">451.3.16 </w:t>
      </w:r>
      <w:r w:rsidRPr="0083003C">
        <w:rPr>
          <w:rFonts w:ascii="TimesNewRoman" w:eastAsiaTheme="minorHAnsi" w:hAnsi="TimesNewRoman" w:cs="TimesNewRoman"/>
          <w:sz w:val="24"/>
          <w:szCs w:val="24"/>
          <w14:ligatures w14:val="standardContextual"/>
        </w:rPr>
        <w:t xml:space="preserve">As required by </w:t>
      </w:r>
      <w:r w:rsidRPr="0083003C">
        <w:rPr>
          <w:rFonts w:ascii="TimesNewRoman,Italic" w:eastAsiaTheme="minorHAnsi" w:hAnsi="TimesNewRoman,Italic" w:cs="TimesNewRoman,Italic"/>
          <w:i/>
          <w:iCs/>
          <w:sz w:val="24"/>
          <w:szCs w:val="24"/>
          <w14:ligatures w14:val="standardContextual"/>
        </w:rPr>
        <w:t>The Guidelines</w:t>
      </w:r>
      <w:r w:rsidRPr="0083003C">
        <w:rPr>
          <w:rFonts w:ascii="TimesNewRoman" w:eastAsiaTheme="minorHAnsi" w:hAnsi="TimesNewRoman" w:cs="TimesNewRoman"/>
          <w:sz w:val="24"/>
          <w:szCs w:val="24"/>
          <w14:ligatures w14:val="standardContextual"/>
        </w:rPr>
        <w:t>, a waste anesthetic</w:t>
      </w:r>
      <w:r>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gas disposal (WAGD) system, in accordance with</w:t>
      </w:r>
      <w:r>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NFPA 99, Health Care Facilities Code, shall be provided</w:t>
      </w:r>
      <w:r>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in operating rooms where nitrous oxide and/or inhalation</w:t>
      </w:r>
      <w:r>
        <w:rPr>
          <w:rFonts w:ascii="TimesNewRoman" w:eastAsiaTheme="minorHAnsi" w:hAnsi="TimesNewRoman" w:cs="TimesNewRoman"/>
          <w:sz w:val="24"/>
          <w:szCs w:val="24"/>
          <w14:ligatures w14:val="standardContextual"/>
        </w:rPr>
        <w:t xml:space="preserve"> </w:t>
      </w:r>
      <w:proofErr w:type="spellStart"/>
      <w:r w:rsidRPr="00306CA6">
        <w:rPr>
          <w:rFonts w:ascii="TimesNewRoman" w:eastAsiaTheme="minorHAnsi" w:hAnsi="TimesNewRoman" w:cs="TimesNewRoman"/>
          <w:strike/>
          <w:sz w:val="24"/>
          <w:szCs w:val="24"/>
          <w14:ligatures w14:val="standardContextual"/>
        </w:rPr>
        <w:t>anesthsia</w:t>
      </w:r>
      <w:proofErr w:type="spellEnd"/>
      <w:r w:rsidRPr="0083003C">
        <w:rPr>
          <w:rFonts w:ascii="TimesNewRoman" w:eastAsiaTheme="minorHAnsi" w:hAnsi="TimesNewRoman" w:cs="TimesNewRoman"/>
          <w:sz w:val="24"/>
          <w:szCs w:val="24"/>
          <w14:ligatures w14:val="standardContextual"/>
        </w:rPr>
        <w:t xml:space="preserve"> </w:t>
      </w:r>
      <w:r w:rsidR="00306CA6" w:rsidRPr="00306CA6">
        <w:rPr>
          <w:u w:val="single"/>
        </w:rPr>
        <w:t>anesthesia</w:t>
      </w:r>
      <w:r w:rsidR="00306CA6">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gas is intended to be administered.</w:t>
      </w:r>
    </w:p>
    <w:p w14:paraId="0C11480F" w14:textId="77777777" w:rsidR="00D30C98" w:rsidRDefault="00D30C98" w:rsidP="00D30C98">
      <w:pPr>
        <w:widowControl/>
        <w:adjustRightInd w:val="0"/>
        <w:rPr>
          <w:rFonts w:eastAsiaTheme="minorHAnsi"/>
          <w:color w:val="FF0000"/>
          <w14:ligatures w14:val="standardContextual"/>
        </w:rPr>
      </w:pPr>
    </w:p>
    <w:bookmarkEnd w:id="0"/>
    <w:p w14:paraId="232B6E45" w14:textId="77777777" w:rsidR="00306CA6" w:rsidRPr="00B603B4" w:rsidRDefault="00306CA6" w:rsidP="00306CA6">
      <w:pPr>
        <w:rPr>
          <w:rFonts w:ascii="TimesNewRoman" w:eastAsiaTheme="minorHAnsi" w:hAnsi="TimesNewRoman" w:cs="TimesNewRoman"/>
          <w:sz w:val="20"/>
          <w:szCs w:val="20"/>
          <w14:ligatures w14:val="standardContextual"/>
        </w:rPr>
      </w:pPr>
      <w:r w:rsidRPr="00B603B4">
        <w:rPr>
          <w:rFonts w:ascii="TimesNewRoman" w:eastAsiaTheme="minorHAnsi" w:hAnsi="TimesNewRoman" w:cs="TimesNewRoman"/>
          <w:b/>
          <w:bCs/>
          <w:sz w:val="20"/>
          <w:szCs w:val="20"/>
          <w14:ligatures w14:val="standardContextual"/>
        </w:rPr>
        <w:t>TAC Recommendation</w:t>
      </w:r>
      <w:r w:rsidRPr="00B603B4">
        <w:rPr>
          <w:rFonts w:ascii="TimesNewRoman" w:eastAsiaTheme="minorHAnsi" w:hAnsi="TimesNewRoman" w:cs="TimesNewRoman"/>
          <w:sz w:val="20"/>
          <w:szCs w:val="20"/>
          <w14:ligatures w14:val="standardContextual"/>
        </w:rPr>
        <w:t>:</w:t>
      </w:r>
    </w:p>
    <w:p w14:paraId="54321632" w14:textId="77777777" w:rsidR="00306CA6" w:rsidRPr="00B603B4" w:rsidRDefault="00306CA6" w:rsidP="00306CA6">
      <w:pPr>
        <w:rPr>
          <w:rFonts w:ascii="TimesNewRoman" w:eastAsiaTheme="minorHAnsi" w:hAnsi="TimesNewRoman" w:cs="TimesNewRoman"/>
          <w:sz w:val="20"/>
          <w:szCs w:val="20"/>
          <w14:ligatures w14:val="standardContextual"/>
        </w:rPr>
      </w:pPr>
    </w:p>
    <w:p w14:paraId="71E66995" w14:textId="208A60CC" w:rsidR="00D30C98" w:rsidRPr="00B603B4" w:rsidRDefault="00306CA6" w:rsidP="00306CA6">
      <w:pPr>
        <w:rPr>
          <w:rFonts w:ascii="TimesNewRoman" w:eastAsiaTheme="minorHAnsi" w:hAnsi="TimesNewRoman" w:cs="TimesNewRoman"/>
          <w:b/>
          <w:bCs/>
          <w:sz w:val="20"/>
          <w:szCs w:val="20"/>
          <w14:ligatures w14:val="standardContextual"/>
        </w:rPr>
      </w:pPr>
      <w:r w:rsidRPr="00B603B4">
        <w:rPr>
          <w:rFonts w:ascii="TimesNewRoman" w:eastAsiaTheme="minorHAnsi" w:hAnsi="TimesNewRoman" w:cs="TimesNewRoman"/>
          <w:b/>
          <w:bCs/>
          <w:sz w:val="20"/>
          <w:szCs w:val="20"/>
          <w14:ligatures w14:val="standardContextual"/>
        </w:rPr>
        <w:t>Commission Action:</w:t>
      </w:r>
    </w:p>
    <w:p w14:paraId="524DA9B9" w14:textId="79387120" w:rsidR="00D21CC0" w:rsidRDefault="00D21CC0" w:rsidP="00306CA6">
      <w:pPr>
        <w:rPr>
          <w:sz w:val="24"/>
          <w:szCs w:val="24"/>
        </w:rPr>
      </w:pPr>
    </w:p>
    <w:p w14:paraId="604A27C8" w14:textId="120E5165" w:rsidR="00D21CC0" w:rsidRDefault="00B36A0E" w:rsidP="00B36A0E">
      <w:pPr>
        <w:widowControl/>
        <w:adjustRightInd w:val="0"/>
        <w:rPr>
          <w:rFonts w:ascii="Arial,Bold" w:eastAsiaTheme="minorHAnsi" w:hAnsi="Arial,Bold" w:cs="Arial,Bold"/>
          <w:b/>
          <w:bCs/>
          <w:sz w:val="20"/>
          <w:szCs w:val="20"/>
          <w14:ligatures w14:val="standardContextual"/>
        </w:rPr>
      </w:pPr>
      <w:r>
        <w:rPr>
          <w:rFonts w:ascii="Arial,Bold" w:eastAsiaTheme="minorHAnsi" w:hAnsi="Arial,Bold" w:cs="Arial,Bold"/>
          <w:b/>
          <w:bCs/>
          <w:sz w:val="20"/>
          <w:szCs w:val="20"/>
          <w14:ligatures w14:val="standardContextual"/>
        </w:rPr>
        <w:t>SECTION 453 STATE REQUIREMENTS FOR EDUCATIONAL FACILITIES</w:t>
      </w:r>
    </w:p>
    <w:p w14:paraId="45FE4346" w14:textId="22F8E813" w:rsidR="00B36A0E" w:rsidRDefault="007D6C0E" w:rsidP="007D6C0E">
      <w:pPr>
        <w:widowControl/>
        <w:adjustRightInd w:val="0"/>
        <w:rPr>
          <w:sz w:val="24"/>
          <w:szCs w:val="24"/>
        </w:rPr>
      </w:pPr>
      <w:r>
        <w:rPr>
          <w:rFonts w:ascii="Arial,Bold" w:eastAsiaTheme="minorHAnsi" w:hAnsi="Arial,Bold" w:cs="Arial,Bold"/>
          <w:b/>
          <w:bCs/>
          <w:sz w:val="20"/>
          <w:szCs w:val="20"/>
          <w14:ligatures w14:val="standardContextual"/>
        </w:rPr>
        <w:t xml:space="preserve">SECTION 468 SCHOOLS, </w:t>
      </w:r>
      <w:proofErr w:type="gramStart"/>
      <w:r>
        <w:rPr>
          <w:rFonts w:ascii="Arial,Bold" w:eastAsiaTheme="minorHAnsi" w:hAnsi="Arial,Bold" w:cs="Arial,Bold"/>
          <w:b/>
          <w:bCs/>
          <w:sz w:val="20"/>
          <w:szCs w:val="20"/>
          <w14:ligatures w14:val="standardContextual"/>
        </w:rPr>
        <w:t>COLLEGES</w:t>
      </w:r>
      <w:proofErr w:type="gramEnd"/>
      <w:r>
        <w:rPr>
          <w:rFonts w:ascii="Arial,Bold" w:eastAsiaTheme="minorHAnsi" w:hAnsi="Arial,Bold" w:cs="Arial,Bold"/>
          <w:b/>
          <w:bCs/>
          <w:sz w:val="20"/>
          <w:szCs w:val="20"/>
          <w14:ligatures w14:val="standardContextual"/>
        </w:rPr>
        <w:t xml:space="preserve"> AND UNIVERSITIES</w:t>
      </w:r>
    </w:p>
    <w:p w14:paraId="11B4FAB5" w14:textId="77777777" w:rsidR="00B36A0E" w:rsidRDefault="00B36A0E" w:rsidP="00D21CC0">
      <w:pPr>
        <w:widowControl/>
        <w:adjustRightInd w:val="0"/>
        <w:rPr>
          <w:rFonts w:eastAsiaTheme="minorHAnsi"/>
          <w:color w:val="FF0000"/>
          <w14:ligatures w14:val="standardContextual"/>
        </w:rPr>
      </w:pPr>
    </w:p>
    <w:p w14:paraId="22AB5156" w14:textId="349FC8E0" w:rsidR="00D21CC0" w:rsidRDefault="00D21CC0" w:rsidP="00D21CC0">
      <w:pPr>
        <w:widowControl/>
        <w:adjustRightInd w:val="0"/>
        <w:rPr>
          <w:rFonts w:eastAsiaTheme="minorHAnsi"/>
          <w:color w:val="FF0000"/>
          <w14:ligatures w14:val="standardContextual"/>
        </w:rPr>
      </w:pPr>
      <w:r>
        <w:rPr>
          <w:rFonts w:eastAsiaTheme="minorHAnsi"/>
          <w:color w:val="FF0000"/>
          <w14:ligatures w14:val="standardContextual"/>
        </w:rPr>
        <w:t>SP</w:t>
      </w:r>
      <w:r w:rsidRPr="005E63E4">
        <w:rPr>
          <w:rFonts w:eastAsiaTheme="minorHAnsi"/>
          <w:color w:val="FF0000"/>
          <w14:ligatures w14:val="standardContextual"/>
        </w:rPr>
        <w:t>-FBC</w:t>
      </w:r>
      <w:r w:rsidR="00B603B4">
        <w:rPr>
          <w:rFonts w:eastAsiaTheme="minorHAnsi"/>
          <w:color w:val="FF0000"/>
          <w14:ligatures w14:val="standardContextual"/>
        </w:rPr>
        <w:t xml:space="preserve"> – B </w:t>
      </w:r>
      <w:r w:rsidRPr="005E63E4">
        <w:rPr>
          <w:rFonts w:eastAsiaTheme="minorHAnsi"/>
          <w:color w:val="FF0000"/>
          <w14:ligatures w14:val="standardContextual"/>
        </w:rPr>
        <w:t>-</w:t>
      </w:r>
      <w:r w:rsidR="00B603B4">
        <w:rPr>
          <w:rFonts w:eastAsiaTheme="minorHAnsi"/>
          <w:color w:val="FF0000"/>
          <w14:ligatures w14:val="standardContextual"/>
        </w:rPr>
        <w:t xml:space="preserve"> </w:t>
      </w:r>
      <w:r>
        <w:rPr>
          <w:rFonts w:eastAsiaTheme="minorHAnsi"/>
          <w:color w:val="FF0000"/>
          <w14:ligatures w14:val="standardContextual"/>
        </w:rPr>
        <w:t>Ch. 4</w:t>
      </w:r>
      <w:r w:rsidRPr="005E63E4">
        <w:rPr>
          <w:rFonts w:eastAsiaTheme="minorHAnsi"/>
          <w:color w:val="FF0000"/>
          <w14:ligatures w14:val="standardContextual"/>
        </w:rPr>
        <w:t xml:space="preserve"> – </w:t>
      </w:r>
      <w:r>
        <w:rPr>
          <w:rFonts w:eastAsiaTheme="minorHAnsi"/>
          <w:color w:val="FF0000"/>
          <w14:ligatures w14:val="standardContextual"/>
        </w:rPr>
        <w:t xml:space="preserve">Glitch </w:t>
      </w:r>
      <w:r w:rsidR="00B603B4">
        <w:rPr>
          <w:rFonts w:eastAsiaTheme="minorHAnsi"/>
          <w:color w:val="FF0000"/>
          <w14:ligatures w14:val="standardContextual"/>
        </w:rPr>
        <w:t>#1</w:t>
      </w:r>
    </w:p>
    <w:p w14:paraId="63B987FC" w14:textId="77777777" w:rsidR="00D21CC0" w:rsidRDefault="00D21CC0" w:rsidP="00D21CC0">
      <w:pPr>
        <w:widowControl/>
        <w:adjustRightInd w:val="0"/>
        <w:rPr>
          <w:rFonts w:eastAsiaTheme="minorHAnsi"/>
          <w:color w:val="FF0000"/>
          <w14:ligatures w14:val="standardContextual"/>
        </w:rPr>
      </w:pPr>
    </w:p>
    <w:p w14:paraId="57E8A861" w14:textId="65FF0C6A" w:rsidR="00D21CC0" w:rsidRDefault="00D21CC0" w:rsidP="00D21CC0">
      <w:pPr>
        <w:rPr>
          <w:rFonts w:eastAsiaTheme="minorHAnsi"/>
          <w14:ligatures w14:val="standardContextual"/>
        </w:rPr>
      </w:pPr>
      <w:r>
        <w:rPr>
          <w:rFonts w:eastAsiaTheme="minorHAnsi"/>
          <w14:ligatures w14:val="standardContextual"/>
        </w:rPr>
        <w:t>Don Whitehead – DOE</w:t>
      </w:r>
    </w:p>
    <w:p w14:paraId="2A486352" w14:textId="77777777" w:rsidR="00D21CC0" w:rsidRDefault="00D21CC0" w:rsidP="00D21CC0">
      <w:pPr>
        <w:rPr>
          <w:rFonts w:eastAsiaTheme="minorHAnsi"/>
          <w:color w:val="FF0000"/>
          <w14:ligatures w14:val="standardContextual"/>
        </w:rPr>
      </w:pPr>
    </w:p>
    <w:p w14:paraId="4FED3569" w14:textId="139084EE" w:rsidR="00D21CC0" w:rsidRDefault="00D21CC0" w:rsidP="00D21CC0">
      <w:pPr>
        <w:rPr>
          <w:color w:val="1F497D"/>
          <w:sz w:val="24"/>
          <w:szCs w:val="24"/>
        </w:rPr>
      </w:pPr>
      <w:r w:rsidRPr="005E63E4">
        <w:rPr>
          <w:rFonts w:eastAsiaTheme="minorHAnsi"/>
          <w:color w:val="FF0000"/>
          <w14:ligatures w14:val="standardContextual"/>
        </w:rPr>
        <w:t xml:space="preserve"> </w:t>
      </w:r>
      <w:r>
        <w:rPr>
          <w:color w:val="1F497D"/>
          <w:sz w:val="24"/>
          <w:szCs w:val="24"/>
        </w:rPr>
        <w:t>Mo,</w:t>
      </w:r>
    </w:p>
    <w:p w14:paraId="5A26E6DE" w14:textId="77777777" w:rsidR="00D21CC0" w:rsidRDefault="00D21CC0" w:rsidP="00D21CC0">
      <w:pPr>
        <w:rPr>
          <w:color w:val="1F497D"/>
          <w:sz w:val="24"/>
          <w:szCs w:val="24"/>
        </w:rPr>
      </w:pPr>
    </w:p>
    <w:p w14:paraId="2173B7CE" w14:textId="77777777" w:rsidR="00D21CC0" w:rsidRDefault="00D21CC0" w:rsidP="00D21CC0">
      <w:pPr>
        <w:rPr>
          <w:color w:val="1F497D"/>
          <w:sz w:val="24"/>
          <w:szCs w:val="24"/>
        </w:rPr>
      </w:pPr>
      <w:r>
        <w:rPr>
          <w:color w:val="1F497D"/>
          <w:sz w:val="24"/>
          <w:szCs w:val="24"/>
        </w:rPr>
        <w:t xml:space="preserve">The following glitch changes are due to a </w:t>
      </w:r>
      <w:r w:rsidRPr="00B36A0E">
        <w:rPr>
          <w:color w:val="FF0000"/>
          <w:sz w:val="24"/>
          <w:szCs w:val="24"/>
        </w:rPr>
        <w:t xml:space="preserve">change in state law by the passage of HB 1521 (2023) </w:t>
      </w:r>
      <w:r>
        <w:rPr>
          <w:color w:val="1F497D"/>
          <w:sz w:val="24"/>
          <w:szCs w:val="24"/>
        </w:rPr>
        <w:t>that went into effect on July 1, 2023.</w:t>
      </w:r>
    </w:p>
    <w:p w14:paraId="6F5F158D" w14:textId="77777777" w:rsidR="00D21CC0" w:rsidRDefault="00D21CC0" w:rsidP="00D21CC0">
      <w:pPr>
        <w:rPr>
          <w:color w:val="1F497D"/>
          <w:sz w:val="24"/>
          <w:szCs w:val="24"/>
        </w:rPr>
      </w:pPr>
    </w:p>
    <w:p w14:paraId="2DCAB983" w14:textId="77777777" w:rsidR="00D21CC0" w:rsidRDefault="00D21CC0" w:rsidP="00D21CC0">
      <w:pPr>
        <w:rPr>
          <w:color w:val="1F497D"/>
          <w:sz w:val="24"/>
          <w:szCs w:val="24"/>
        </w:rPr>
      </w:pPr>
      <w:r>
        <w:rPr>
          <w:color w:val="1F497D"/>
          <w:sz w:val="24"/>
          <w:szCs w:val="24"/>
        </w:rPr>
        <w:t>The Florida specific need is to match state law.</w:t>
      </w:r>
    </w:p>
    <w:p w14:paraId="553B90A9" w14:textId="77777777" w:rsidR="00D21CC0" w:rsidRDefault="00D21CC0" w:rsidP="00D21CC0">
      <w:pPr>
        <w:rPr>
          <w:color w:val="1F497D"/>
          <w:sz w:val="24"/>
          <w:szCs w:val="24"/>
        </w:rPr>
      </w:pPr>
    </w:p>
    <w:p w14:paraId="69297477" w14:textId="77777777" w:rsidR="00D21CC0" w:rsidRDefault="00D21CC0" w:rsidP="00D21CC0">
      <w:pPr>
        <w:rPr>
          <w:color w:val="1F497D"/>
          <w:sz w:val="24"/>
          <w:szCs w:val="24"/>
        </w:rPr>
      </w:pPr>
      <w:r>
        <w:rPr>
          <w:color w:val="1F497D"/>
          <w:sz w:val="24"/>
          <w:szCs w:val="24"/>
        </w:rPr>
        <w:t>There is no impact on small businesses.</w:t>
      </w:r>
    </w:p>
    <w:p w14:paraId="7665E799" w14:textId="77777777" w:rsidR="00D21CC0" w:rsidRDefault="00D21CC0" w:rsidP="00D21CC0">
      <w:pPr>
        <w:rPr>
          <w:color w:val="1F497D"/>
          <w:sz w:val="24"/>
          <w:szCs w:val="24"/>
        </w:rPr>
      </w:pPr>
    </w:p>
    <w:p w14:paraId="3E72C7C7" w14:textId="77777777" w:rsidR="00D21CC0" w:rsidRDefault="00D21CC0" w:rsidP="00D21CC0">
      <w:pPr>
        <w:rPr>
          <w:color w:val="1F497D"/>
          <w:sz w:val="24"/>
          <w:szCs w:val="24"/>
        </w:rPr>
      </w:pPr>
      <w:r>
        <w:rPr>
          <w:color w:val="1F497D"/>
          <w:sz w:val="24"/>
          <w:szCs w:val="24"/>
        </w:rPr>
        <w:t xml:space="preserve">These code changes have a reasonable and substantial connection with the health, safety, and welfare of the </w:t>
      </w:r>
      <w:proofErr w:type="gramStart"/>
      <w:r>
        <w:rPr>
          <w:color w:val="1F497D"/>
          <w:sz w:val="24"/>
          <w:szCs w:val="24"/>
        </w:rPr>
        <w:t>general public</w:t>
      </w:r>
      <w:proofErr w:type="gramEnd"/>
      <w:r>
        <w:rPr>
          <w:color w:val="1F497D"/>
          <w:sz w:val="24"/>
          <w:szCs w:val="24"/>
        </w:rPr>
        <w:t>.</w:t>
      </w:r>
    </w:p>
    <w:p w14:paraId="5466E60C" w14:textId="77777777" w:rsidR="00D21CC0" w:rsidRDefault="00D21CC0" w:rsidP="00D21CC0">
      <w:pPr>
        <w:rPr>
          <w:color w:val="1F497D"/>
          <w:sz w:val="24"/>
          <w:szCs w:val="24"/>
        </w:rPr>
      </w:pPr>
    </w:p>
    <w:p w14:paraId="0A944283" w14:textId="77777777" w:rsidR="00D21CC0" w:rsidRDefault="00D21CC0" w:rsidP="00D21CC0">
      <w:pPr>
        <w:rPr>
          <w:color w:val="1F497D"/>
          <w:sz w:val="24"/>
          <w:szCs w:val="24"/>
        </w:rPr>
      </w:pPr>
      <w:r>
        <w:rPr>
          <w:color w:val="1F497D"/>
          <w:sz w:val="24"/>
          <w:szCs w:val="24"/>
        </w:rPr>
        <w:t>These code changes strengthen and improve the Florida Building Code by matching state law.</w:t>
      </w:r>
    </w:p>
    <w:p w14:paraId="74C8617F" w14:textId="77777777" w:rsidR="00D21CC0" w:rsidRDefault="00D21CC0" w:rsidP="00D21CC0">
      <w:pPr>
        <w:rPr>
          <w:color w:val="1F497D"/>
          <w:sz w:val="24"/>
          <w:szCs w:val="24"/>
        </w:rPr>
      </w:pPr>
    </w:p>
    <w:p w14:paraId="46513109" w14:textId="77777777" w:rsidR="00D21CC0" w:rsidRDefault="00D21CC0" w:rsidP="00D21CC0">
      <w:pPr>
        <w:rPr>
          <w:color w:val="1F497D"/>
          <w:sz w:val="24"/>
          <w:szCs w:val="24"/>
        </w:rPr>
      </w:pPr>
      <w:r>
        <w:rPr>
          <w:color w:val="1F497D"/>
          <w:sz w:val="24"/>
          <w:szCs w:val="24"/>
        </w:rPr>
        <w:t>These code changes do not discriminate against materials, products, methods, or systems of construction of demonstrated capabilities.</w:t>
      </w:r>
    </w:p>
    <w:p w14:paraId="33D2EF53" w14:textId="77777777" w:rsidR="00D21CC0" w:rsidRDefault="00D21CC0" w:rsidP="00D21CC0">
      <w:pPr>
        <w:rPr>
          <w:color w:val="1F497D"/>
          <w:sz w:val="24"/>
          <w:szCs w:val="24"/>
        </w:rPr>
      </w:pPr>
    </w:p>
    <w:p w14:paraId="3E3420D0" w14:textId="77777777" w:rsidR="00D21CC0" w:rsidRDefault="00D21CC0" w:rsidP="00D21CC0">
      <w:pPr>
        <w:rPr>
          <w:color w:val="1F497D"/>
          <w:sz w:val="24"/>
          <w:szCs w:val="24"/>
        </w:rPr>
      </w:pPr>
      <w:r>
        <w:rPr>
          <w:color w:val="1F497D"/>
          <w:sz w:val="24"/>
          <w:szCs w:val="24"/>
        </w:rPr>
        <w:t>These code changes do not degrade the effectiveness of the Florida Building Code.</w:t>
      </w:r>
    </w:p>
    <w:p w14:paraId="70DBA759" w14:textId="77777777" w:rsidR="00D21CC0" w:rsidRDefault="00D21CC0" w:rsidP="00D21CC0">
      <w:pPr>
        <w:rPr>
          <w:color w:val="1F497D"/>
          <w:sz w:val="24"/>
          <w:szCs w:val="24"/>
        </w:rPr>
      </w:pPr>
    </w:p>
    <w:p w14:paraId="71C28D6C" w14:textId="77777777" w:rsidR="00B36A0E" w:rsidRDefault="00B36A0E" w:rsidP="00B36A0E">
      <w:pPr>
        <w:pStyle w:val="NormalWeb"/>
        <w:jc w:val="both"/>
        <w:rPr>
          <w:rFonts w:ascii="Roboto" w:hAnsi="Roboto"/>
          <w:sz w:val="24"/>
          <w:szCs w:val="24"/>
        </w:rPr>
      </w:pPr>
      <w:r>
        <w:rPr>
          <w:rFonts w:ascii="Roboto" w:hAnsi="Roboto"/>
          <w:b/>
          <w:bCs/>
          <w:sz w:val="24"/>
          <w:szCs w:val="24"/>
        </w:rPr>
        <w:t>453.16.1 Standards.</w:t>
      </w:r>
      <w:r>
        <w:rPr>
          <w:rFonts w:ascii="Roboto" w:hAnsi="Roboto"/>
          <w:sz w:val="24"/>
          <w:szCs w:val="24"/>
        </w:rPr>
        <w:t xml:space="preserve"> Educational and ancillary facilities shall be provided with toilets, hand washing facilities, and drinking fountains for all occupants, in ratios and accessible as required by the Florida Building Code, Florida law, and federal requirements.</w:t>
      </w:r>
    </w:p>
    <w:p w14:paraId="4FB85F4B" w14:textId="77777777" w:rsidR="00B36A0E" w:rsidRDefault="00B36A0E" w:rsidP="00B36A0E">
      <w:pPr>
        <w:pStyle w:val="NormalWeb"/>
        <w:jc w:val="both"/>
        <w:rPr>
          <w:rFonts w:ascii="Roboto" w:hAnsi="Roboto"/>
          <w:strike/>
          <w:sz w:val="24"/>
          <w:szCs w:val="24"/>
        </w:rPr>
      </w:pPr>
      <w:r>
        <w:rPr>
          <w:rFonts w:ascii="Roboto" w:hAnsi="Roboto"/>
          <w:b/>
          <w:bCs/>
          <w:strike/>
          <w:sz w:val="24"/>
          <w:szCs w:val="24"/>
        </w:rPr>
        <w:t>Exception:</w:t>
      </w:r>
      <w:r>
        <w:rPr>
          <w:rFonts w:ascii="Roboto" w:hAnsi="Roboto"/>
          <w:strike/>
          <w:sz w:val="24"/>
          <w:szCs w:val="24"/>
        </w:rPr>
        <w:t xml:space="preserve"> Unisex toilets shall not be provided in addition to group toilets in assembly occupancies.</w:t>
      </w:r>
    </w:p>
    <w:p w14:paraId="20BDA606" w14:textId="77777777" w:rsidR="00B36A0E" w:rsidRDefault="00B36A0E" w:rsidP="00B36A0E">
      <w:pPr>
        <w:rPr>
          <w:rFonts w:ascii="Roboto" w:hAnsi="Roboto"/>
          <w:sz w:val="24"/>
          <w:szCs w:val="24"/>
        </w:rPr>
      </w:pPr>
      <w:r>
        <w:rPr>
          <w:rFonts w:ascii="Roboto" w:hAnsi="Roboto"/>
          <w:b/>
          <w:bCs/>
          <w:sz w:val="24"/>
          <w:szCs w:val="24"/>
        </w:rPr>
        <w:t>453.22.5.3.1</w:t>
      </w:r>
      <w:r>
        <w:rPr>
          <w:rFonts w:ascii="Roboto" w:hAnsi="Roboto"/>
          <w:sz w:val="24"/>
          <w:szCs w:val="24"/>
        </w:rPr>
        <w:t xml:space="preserve"> Full-service school clinics shall include one accessible toilet room for males and one for females </w:t>
      </w:r>
      <w:r>
        <w:rPr>
          <w:rFonts w:ascii="Roboto" w:hAnsi="Roboto"/>
          <w:sz w:val="24"/>
          <w:szCs w:val="24"/>
          <w:u w:val="single"/>
        </w:rPr>
        <w:t>or at least two accessible single-user unisex toilet rooms</w:t>
      </w:r>
      <w:r>
        <w:rPr>
          <w:rFonts w:ascii="Roboto" w:hAnsi="Roboto"/>
          <w:sz w:val="24"/>
          <w:szCs w:val="24"/>
        </w:rPr>
        <w:t>, complete with water closet, lavatory, accessories, and shower. Additional toilets may be required for a full-service school clinic depending on occupant load and program.</w:t>
      </w:r>
    </w:p>
    <w:p w14:paraId="2696F6F1" w14:textId="77777777" w:rsidR="00B36A0E" w:rsidRDefault="00B36A0E" w:rsidP="00B36A0E">
      <w:pPr>
        <w:rPr>
          <w:rFonts w:ascii="Roboto" w:hAnsi="Roboto"/>
          <w:sz w:val="24"/>
          <w:szCs w:val="24"/>
        </w:rPr>
      </w:pPr>
    </w:p>
    <w:p w14:paraId="6C62EB3E" w14:textId="77777777" w:rsidR="00B36A0E" w:rsidRDefault="00B36A0E" w:rsidP="00B36A0E">
      <w:pPr>
        <w:rPr>
          <w:rFonts w:ascii="Roboto" w:hAnsi="Roboto" w:cs="Calibri"/>
          <w:b/>
          <w:bCs/>
          <w:sz w:val="24"/>
          <w:szCs w:val="24"/>
        </w:rPr>
      </w:pPr>
      <w:r>
        <w:rPr>
          <w:rFonts w:ascii="Roboto" w:hAnsi="Roboto"/>
          <w:b/>
          <w:bCs/>
          <w:sz w:val="24"/>
          <w:szCs w:val="24"/>
        </w:rPr>
        <w:t xml:space="preserve">468.3.4 </w:t>
      </w:r>
      <w:r>
        <w:rPr>
          <w:rFonts w:ascii="Roboto" w:hAnsi="Roboto"/>
          <w:b/>
          <w:bCs/>
          <w:sz w:val="24"/>
          <w:szCs w:val="24"/>
          <w:u w:val="single"/>
        </w:rPr>
        <w:t>Changing areas.</w:t>
      </w:r>
    </w:p>
    <w:p w14:paraId="285A69B1" w14:textId="77777777" w:rsidR="00B36A0E" w:rsidRDefault="00B36A0E" w:rsidP="00B36A0E">
      <w:pPr>
        <w:spacing w:after="120"/>
        <w:jc w:val="both"/>
        <w:rPr>
          <w:rFonts w:ascii="Roboto" w:hAnsi="Roboto"/>
          <w:b/>
          <w:bCs/>
          <w:sz w:val="24"/>
          <w:szCs w:val="24"/>
          <w:u w:val="single"/>
        </w:rPr>
      </w:pPr>
    </w:p>
    <w:p w14:paraId="36DD1C87" w14:textId="2752A396" w:rsidR="00B36A0E" w:rsidRDefault="00B36A0E" w:rsidP="00B36A0E">
      <w:pPr>
        <w:spacing w:after="120"/>
        <w:jc w:val="both"/>
        <w:rPr>
          <w:rFonts w:ascii="Roboto" w:hAnsi="Roboto"/>
          <w:sz w:val="24"/>
          <w:szCs w:val="24"/>
        </w:rPr>
      </w:pPr>
      <w:r>
        <w:rPr>
          <w:rFonts w:ascii="Roboto" w:hAnsi="Roboto"/>
          <w:b/>
          <w:bCs/>
          <w:sz w:val="24"/>
          <w:szCs w:val="24"/>
          <w:u w:val="single"/>
        </w:rPr>
        <w:t>468.3.4.1</w:t>
      </w:r>
      <w:r>
        <w:rPr>
          <w:rFonts w:ascii="Roboto" w:hAnsi="Roboto"/>
          <w:b/>
          <w:bCs/>
          <w:sz w:val="24"/>
          <w:szCs w:val="24"/>
        </w:rPr>
        <w:t xml:space="preserve"> Diaper changing stations.</w:t>
      </w:r>
      <w:r>
        <w:rPr>
          <w:rFonts w:ascii="Roboto" w:hAnsi="Roboto"/>
          <w:sz w:val="24"/>
          <w:szCs w:val="24"/>
        </w:rPr>
        <w:t xml:space="preserve"> A diaper changing station shall </w:t>
      </w:r>
      <w:proofErr w:type="gramStart"/>
      <w:r>
        <w:rPr>
          <w:rFonts w:ascii="Roboto" w:hAnsi="Roboto"/>
          <w:sz w:val="24"/>
          <w:szCs w:val="24"/>
        </w:rPr>
        <w:t>be located in</w:t>
      </w:r>
      <w:proofErr w:type="gramEnd"/>
      <w:r>
        <w:rPr>
          <w:rFonts w:ascii="Roboto" w:hAnsi="Roboto"/>
          <w:sz w:val="24"/>
          <w:szCs w:val="24"/>
        </w:rPr>
        <w:t xml:space="preserve"> or adjacent to any classroom where children wearing diapers are in attendance. A hand washing lavatory shall be provided within the changing station area. Access shall be provided to the lavatory without opening doors or touching a handle.</w:t>
      </w:r>
    </w:p>
    <w:p w14:paraId="10923C65" w14:textId="77777777" w:rsidR="00B36A0E" w:rsidRDefault="00B36A0E" w:rsidP="00B36A0E">
      <w:pPr>
        <w:pStyle w:val="NormalWeb"/>
        <w:jc w:val="both"/>
        <w:rPr>
          <w:rFonts w:ascii="Roboto" w:hAnsi="Roboto"/>
          <w:b/>
          <w:bCs/>
          <w:sz w:val="24"/>
          <w:szCs w:val="24"/>
        </w:rPr>
      </w:pPr>
      <w:r>
        <w:rPr>
          <w:rFonts w:ascii="Roboto" w:hAnsi="Roboto"/>
          <w:b/>
          <w:bCs/>
          <w:sz w:val="24"/>
          <w:szCs w:val="24"/>
          <w:u w:val="single"/>
        </w:rPr>
        <w:t>468.3.4.2</w:t>
      </w:r>
      <w:r>
        <w:rPr>
          <w:rFonts w:ascii="Roboto" w:hAnsi="Roboto"/>
          <w:b/>
          <w:bCs/>
          <w:sz w:val="24"/>
          <w:szCs w:val="24"/>
        </w:rPr>
        <w:t xml:space="preserve"> </w:t>
      </w:r>
      <w:r>
        <w:rPr>
          <w:rFonts w:ascii="Roboto" w:hAnsi="Roboto"/>
          <w:b/>
          <w:bCs/>
          <w:sz w:val="24"/>
          <w:szCs w:val="24"/>
          <w:u w:val="single"/>
        </w:rPr>
        <w:t>Unisex dressing rooms.</w:t>
      </w:r>
      <w:r>
        <w:rPr>
          <w:rFonts w:ascii="Roboto" w:hAnsi="Roboto"/>
          <w:sz w:val="24"/>
          <w:szCs w:val="24"/>
          <w:u w:val="single"/>
        </w:rPr>
        <w:t xml:space="preserve"> Accessible single-user unisex dressing rooms, as described in section 803, FBC, Accessibility, may be utilized in place of accessible male and accessible female dressing rooms.</w:t>
      </w:r>
    </w:p>
    <w:p w14:paraId="5358FA0F" w14:textId="77777777" w:rsidR="00B36A0E" w:rsidRDefault="00B36A0E" w:rsidP="00B36A0E">
      <w:pPr>
        <w:rPr>
          <w:rFonts w:ascii="Roboto" w:hAnsi="Roboto" w:cs="Calibri"/>
          <w:b/>
          <w:bCs/>
          <w:sz w:val="24"/>
          <w:szCs w:val="24"/>
        </w:rPr>
      </w:pPr>
      <w:r>
        <w:rPr>
          <w:rFonts w:ascii="Roboto" w:hAnsi="Roboto"/>
          <w:b/>
          <w:bCs/>
          <w:sz w:val="24"/>
          <w:szCs w:val="24"/>
        </w:rPr>
        <w:t>468.3.5 Plumbing.</w:t>
      </w:r>
    </w:p>
    <w:p w14:paraId="177DF6E8" w14:textId="77777777" w:rsidR="00B36A0E" w:rsidRDefault="00B36A0E" w:rsidP="00B36A0E">
      <w:pPr>
        <w:pStyle w:val="NormalWeb"/>
        <w:jc w:val="both"/>
        <w:rPr>
          <w:rFonts w:ascii="Roboto" w:hAnsi="Roboto"/>
          <w:sz w:val="24"/>
          <w:szCs w:val="24"/>
        </w:rPr>
      </w:pPr>
      <w:r>
        <w:rPr>
          <w:rFonts w:ascii="Roboto" w:hAnsi="Roboto"/>
          <w:b/>
          <w:bCs/>
          <w:sz w:val="24"/>
          <w:szCs w:val="24"/>
        </w:rPr>
        <w:t>468.3.5.1 Standards.</w:t>
      </w:r>
      <w:r>
        <w:rPr>
          <w:rFonts w:ascii="Roboto" w:hAnsi="Roboto"/>
          <w:sz w:val="24"/>
          <w:szCs w:val="24"/>
        </w:rPr>
        <w:t xml:space="preserve"> Educational and ancillary facilities shall be provided with toilets, hand washing facilities, and drinking fountains for all occupants, in ratios</w:t>
      </w:r>
      <w:r>
        <w:t xml:space="preserve"> </w:t>
      </w:r>
      <w:r>
        <w:rPr>
          <w:rFonts w:ascii="Roboto" w:hAnsi="Roboto"/>
          <w:sz w:val="24"/>
          <w:szCs w:val="24"/>
        </w:rPr>
        <w:t>and accessible as required by the Florida Building Code, Florida law, and federal requirements.</w:t>
      </w:r>
    </w:p>
    <w:p w14:paraId="5675D382" w14:textId="77777777" w:rsidR="00B36A0E" w:rsidRDefault="00B36A0E" w:rsidP="00B36A0E">
      <w:pPr>
        <w:pStyle w:val="NormalWeb"/>
        <w:jc w:val="both"/>
        <w:rPr>
          <w:rFonts w:ascii="Roboto" w:hAnsi="Roboto"/>
          <w:sz w:val="24"/>
          <w:szCs w:val="24"/>
        </w:rPr>
      </w:pPr>
      <w:r>
        <w:rPr>
          <w:rFonts w:ascii="Roboto" w:hAnsi="Roboto"/>
          <w:b/>
          <w:bCs/>
          <w:sz w:val="24"/>
          <w:szCs w:val="24"/>
        </w:rPr>
        <w:t>Exception</w:t>
      </w:r>
      <w:r>
        <w:rPr>
          <w:rFonts w:ascii="Roboto" w:hAnsi="Roboto"/>
          <w:b/>
          <w:bCs/>
          <w:sz w:val="24"/>
          <w:szCs w:val="24"/>
          <w:u w:val="single"/>
        </w:rPr>
        <w:t>s</w:t>
      </w:r>
      <w:r>
        <w:rPr>
          <w:rFonts w:ascii="Roboto" w:hAnsi="Roboto"/>
          <w:b/>
          <w:bCs/>
          <w:sz w:val="24"/>
          <w:szCs w:val="24"/>
        </w:rPr>
        <w:t>:</w:t>
      </w:r>
      <w:r>
        <w:rPr>
          <w:rFonts w:ascii="Roboto" w:hAnsi="Roboto"/>
          <w:sz w:val="24"/>
          <w:szCs w:val="24"/>
        </w:rPr>
        <w:t xml:space="preserve"> </w:t>
      </w:r>
    </w:p>
    <w:p w14:paraId="01400908" w14:textId="77777777" w:rsidR="00B36A0E" w:rsidRDefault="00B36A0E" w:rsidP="00B36A0E">
      <w:pPr>
        <w:widowControl/>
        <w:numPr>
          <w:ilvl w:val="0"/>
          <w:numId w:val="1"/>
        </w:numPr>
        <w:autoSpaceDE/>
        <w:autoSpaceDN/>
        <w:spacing w:before="100" w:beforeAutospacing="1" w:after="100" w:afterAutospacing="1"/>
        <w:jc w:val="both"/>
        <w:rPr>
          <w:rFonts w:ascii="Roboto" w:hAnsi="Roboto"/>
          <w:strike/>
          <w:sz w:val="24"/>
          <w:szCs w:val="24"/>
        </w:rPr>
      </w:pPr>
      <w:r>
        <w:rPr>
          <w:rFonts w:ascii="Roboto" w:hAnsi="Roboto"/>
          <w:sz w:val="24"/>
          <w:szCs w:val="24"/>
        </w:rPr>
        <w:t xml:space="preserve">A single unisex toilet room is allowed where provided in </w:t>
      </w:r>
      <w:proofErr w:type="gramStart"/>
      <w:r>
        <w:rPr>
          <w:rFonts w:ascii="Roboto" w:hAnsi="Roboto"/>
          <w:sz w:val="24"/>
          <w:szCs w:val="24"/>
        </w:rPr>
        <w:t>child care</w:t>
      </w:r>
      <w:proofErr w:type="gramEnd"/>
      <w:r>
        <w:rPr>
          <w:rFonts w:ascii="Roboto" w:hAnsi="Roboto"/>
          <w:sz w:val="24"/>
          <w:szCs w:val="24"/>
        </w:rPr>
        <w:t xml:space="preserve">, pre-kindergarten through grade 3 and ESE classrooms. </w:t>
      </w:r>
    </w:p>
    <w:p w14:paraId="10A7337A" w14:textId="77777777" w:rsidR="00B36A0E" w:rsidRDefault="00B36A0E" w:rsidP="00B36A0E">
      <w:pPr>
        <w:widowControl/>
        <w:numPr>
          <w:ilvl w:val="0"/>
          <w:numId w:val="1"/>
        </w:numPr>
        <w:autoSpaceDE/>
        <w:autoSpaceDN/>
        <w:spacing w:before="100" w:beforeAutospacing="1" w:after="100" w:afterAutospacing="1"/>
        <w:jc w:val="both"/>
        <w:rPr>
          <w:rFonts w:ascii="Roboto" w:hAnsi="Roboto"/>
          <w:strike/>
          <w:sz w:val="24"/>
          <w:szCs w:val="24"/>
        </w:rPr>
      </w:pPr>
      <w:r>
        <w:rPr>
          <w:rFonts w:ascii="Roboto" w:hAnsi="Roboto"/>
          <w:sz w:val="24"/>
          <w:szCs w:val="24"/>
          <w:u w:val="single"/>
        </w:rPr>
        <w:t>Accessible single-user unisex toilet rooms may be utilized in place of male and female toilet rooms for students or staff</w:t>
      </w:r>
      <w:r>
        <w:rPr>
          <w:rFonts w:ascii="Roboto" w:hAnsi="Roboto"/>
          <w:sz w:val="24"/>
          <w:szCs w:val="24"/>
        </w:rPr>
        <w:t>.</w:t>
      </w:r>
    </w:p>
    <w:p w14:paraId="796E924E" w14:textId="77777777" w:rsidR="00B36A0E" w:rsidRDefault="00B36A0E" w:rsidP="00B36A0E">
      <w:pPr>
        <w:rPr>
          <w:rFonts w:eastAsiaTheme="minorHAnsi"/>
          <w:color w:val="000000"/>
          <w:sz w:val="24"/>
          <w:szCs w:val="24"/>
        </w:rPr>
      </w:pPr>
    </w:p>
    <w:p w14:paraId="27C14BB5" w14:textId="77777777" w:rsidR="007D6C0E" w:rsidRPr="00B603B4" w:rsidRDefault="007D6C0E" w:rsidP="007D6C0E">
      <w:pPr>
        <w:rPr>
          <w:rFonts w:ascii="TimesNewRoman" w:eastAsiaTheme="minorHAnsi" w:hAnsi="TimesNewRoman" w:cs="TimesNewRoman"/>
          <w:sz w:val="20"/>
          <w:szCs w:val="20"/>
          <w14:ligatures w14:val="standardContextual"/>
        </w:rPr>
      </w:pPr>
      <w:r w:rsidRPr="00B603B4">
        <w:rPr>
          <w:rFonts w:ascii="TimesNewRoman" w:eastAsiaTheme="minorHAnsi" w:hAnsi="TimesNewRoman" w:cs="TimesNewRoman"/>
          <w:b/>
          <w:bCs/>
          <w:sz w:val="20"/>
          <w:szCs w:val="20"/>
          <w14:ligatures w14:val="standardContextual"/>
        </w:rPr>
        <w:t>TAC Recommendation</w:t>
      </w:r>
      <w:r w:rsidRPr="00B603B4">
        <w:rPr>
          <w:rFonts w:ascii="TimesNewRoman" w:eastAsiaTheme="minorHAnsi" w:hAnsi="TimesNewRoman" w:cs="TimesNewRoman"/>
          <w:sz w:val="20"/>
          <w:szCs w:val="20"/>
          <w14:ligatures w14:val="standardContextual"/>
        </w:rPr>
        <w:t>:</w:t>
      </w:r>
    </w:p>
    <w:p w14:paraId="3D82172D" w14:textId="77777777" w:rsidR="007D6C0E" w:rsidRPr="00B603B4" w:rsidRDefault="007D6C0E" w:rsidP="007D6C0E">
      <w:pPr>
        <w:rPr>
          <w:rFonts w:ascii="TimesNewRoman" w:eastAsiaTheme="minorHAnsi" w:hAnsi="TimesNewRoman" w:cs="TimesNewRoman"/>
          <w:sz w:val="20"/>
          <w:szCs w:val="20"/>
          <w14:ligatures w14:val="standardContextual"/>
        </w:rPr>
      </w:pPr>
    </w:p>
    <w:p w14:paraId="42BFEA92" w14:textId="77777777" w:rsidR="007D6C0E" w:rsidRPr="00B603B4" w:rsidRDefault="007D6C0E" w:rsidP="007D6C0E">
      <w:pPr>
        <w:rPr>
          <w:rFonts w:ascii="TimesNewRoman" w:eastAsiaTheme="minorHAnsi" w:hAnsi="TimesNewRoman" w:cs="TimesNewRoman"/>
          <w:b/>
          <w:bCs/>
          <w:sz w:val="20"/>
          <w:szCs w:val="20"/>
          <w14:ligatures w14:val="standardContextual"/>
        </w:rPr>
      </w:pPr>
      <w:r w:rsidRPr="00B603B4">
        <w:rPr>
          <w:rFonts w:ascii="TimesNewRoman" w:eastAsiaTheme="minorHAnsi" w:hAnsi="TimesNewRoman" w:cs="TimesNewRoman"/>
          <w:b/>
          <w:bCs/>
          <w:sz w:val="20"/>
          <w:szCs w:val="20"/>
          <w14:ligatures w14:val="standardContextual"/>
        </w:rPr>
        <w:t>Commission Action:</w:t>
      </w:r>
    </w:p>
    <w:p w14:paraId="35AFEEBA" w14:textId="77777777" w:rsidR="00D21CC0" w:rsidRPr="00B603B4" w:rsidRDefault="00D21CC0" w:rsidP="00D21CC0">
      <w:pPr>
        <w:rPr>
          <w:color w:val="1F497D"/>
          <w:sz w:val="20"/>
          <w:szCs w:val="20"/>
        </w:rPr>
      </w:pPr>
    </w:p>
    <w:p w14:paraId="73C6762B" w14:textId="77777777" w:rsidR="00315DA0" w:rsidRDefault="00315DA0" w:rsidP="00D21CC0">
      <w:pPr>
        <w:rPr>
          <w:color w:val="1F497D"/>
          <w:sz w:val="24"/>
          <w:szCs w:val="24"/>
        </w:rPr>
      </w:pPr>
    </w:p>
    <w:p w14:paraId="3CD59E69" w14:textId="77777777" w:rsidR="00315DA0" w:rsidRDefault="00315DA0" w:rsidP="00315DA0">
      <w:pPr>
        <w:widowControl/>
        <w:autoSpaceDE/>
        <w:rPr>
          <w:rFonts w:ascii="Arial" w:eastAsia="Calibri" w:hAnsi="Arial" w:cs="Arial"/>
          <w:b/>
          <w:bCs/>
          <w:sz w:val="24"/>
          <w:szCs w:val="24"/>
        </w:rPr>
      </w:pPr>
    </w:p>
    <w:p w14:paraId="47E7FAF0" w14:textId="2D2CC4AD" w:rsidR="00315DA0" w:rsidRDefault="00315DA0" w:rsidP="00315DA0">
      <w:pPr>
        <w:widowControl/>
        <w:autoSpaceDE/>
        <w:rPr>
          <w:rFonts w:ascii="Arial" w:eastAsia="Calibri" w:hAnsi="Arial" w:cs="Arial"/>
          <w:b/>
          <w:bCs/>
          <w:sz w:val="24"/>
          <w:szCs w:val="24"/>
        </w:rPr>
      </w:pPr>
      <w:r>
        <w:rPr>
          <w:rFonts w:ascii="Arial" w:eastAsia="Calibri" w:hAnsi="Arial" w:cs="Arial"/>
          <w:b/>
          <w:bCs/>
          <w:sz w:val="24"/>
          <w:szCs w:val="24"/>
        </w:rPr>
        <w:lastRenderedPageBreak/>
        <w:t>8th Edition (2023) Florida Building Code, Residential</w:t>
      </w:r>
    </w:p>
    <w:p w14:paraId="75733D8B" w14:textId="77777777" w:rsidR="00315DA0" w:rsidRDefault="00315DA0" w:rsidP="00315DA0">
      <w:pPr>
        <w:widowControl/>
        <w:autoSpaceDE/>
        <w:rPr>
          <w:rFonts w:ascii="Arial" w:eastAsia="Calibri" w:hAnsi="Arial" w:cs="Arial"/>
          <w:b/>
          <w:bCs/>
          <w:sz w:val="24"/>
          <w:szCs w:val="24"/>
        </w:rPr>
      </w:pPr>
    </w:p>
    <w:p w14:paraId="4B144646" w14:textId="43A1AC1A" w:rsidR="00315DA0" w:rsidRDefault="00315DA0" w:rsidP="00315DA0">
      <w:pPr>
        <w:widowControl/>
        <w:adjustRightInd w:val="0"/>
        <w:rPr>
          <w:rFonts w:ascii="Arial,Bold" w:eastAsiaTheme="minorHAnsi" w:hAnsi="Arial,Bold" w:cs="Arial,Bold"/>
          <w:b/>
          <w:bCs/>
          <w:sz w:val="24"/>
          <w:szCs w:val="24"/>
          <w14:ligatures w14:val="standardContextual"/>
        </w:rPr>
      </w:pPr>
      <w:r w:rsidRPr="00315DA0">
        <w:rPr>
          <w:rFonts w:ascii="Arial,Bold" w:eastAsiaTheme="minorHAnsi" w:hAnsi="Arial,Bold" w:cs="Arial,Bold"/>
          <w:b/>
          <w:bCs/>
          <w:sz w:val="24"/>
          <w:szCs w:val="24"/>
          <w14:ligatures w14:val="standardContextual"/>
        </w:rPr>
        <w:t>CHAPTER 3 BUILDING PLANNING</w:t>
      </w:r>
    </w:p>
    <w:p w14:paraId="41A8BF13" w14:textId="77777777" w:rsidR="00315DA0" w:rsidRDefault="00315DA0" w:rsidP="00315DA0">
      <w:pPr>
        <w:widowControl/>
        <w:adjustRightInd w:val="0"/>
        <w:rPr>
          <w:rFonts w:ascii="Arial,Bold" w:eastAsiaTheme="minorHAnsi" w:hAnsi="Arial,Bold" w:cs="Arial,Bold"/>
          <w:b/>
          <w:bCs/>
          <w:sz w:val="24"/>
          <w:szCs w:val="24"/>
          <w14:ligatures w14:val="standardContextual"/>
        </w:rPr>
      </w:pPr>
    </w:p>
    <w:p w14:paraId="662BFE51" w14:textId="458D87B5" w:rsidR="00315DA0" w:rsidRPr="00315DA0" w:rsidRDefault="00F63355" w:rsidP="00F63355">
      <w:pPr>
        <w:widowControl/>
        <w:adjustRightInd w:val="0"/>
        <w:rPr>
          <w:rFonts w:ascii="Arial" w:eastAsia="Calibri" w:hAnsi="Arial" w:cs="Arial"/>
          <w:b/>
          <w:bCs/>
          <w:sz w:val="24"/>
          <w:szCs w:val="24"/>
        </w:rPr>
      </w:pPr>
      <w:r>
        <w:rPr>
          <w:rFonts w:ascii="Arial,Bold" w:eastAsiaTheme="minorHAnsi" w:hAnsi="Arial,Bold" w:cs="Arial,Bold"/>
          <w:b/>
          <w:bCs/>
          <w:sz w:val="20"/>
          <w:szCs w:val="20"/>
          <w14:ligatures w14:val="standardContextual"/>
        </w:rPr>
        <w:t>SECTION R322 FLOOD-RESISTANT CONSTRUCTION</w:t>
      </w:r>
    </w:p>
    <w:p w14:paraId="17E514F3" w14:textId="396636E7" w:rsidR="00D21CC0" w:rsidRDefault="00D21CC0" w:rsidP="00D21CC0">
      <w:pPr>
        <w:widowControl/>
        <w:adjustRightInd w:val="0"/>
        <w:rPr>
          <w:rFonts w:eastAsiaTheme="minorHAnsi"/>
          <w:color w:val="FF0000"/>
          <w14:ligatures w14:val="standardContextual"/>
        </w:rPr>
      </w:pPr>
    </w:p>
    <w:p w14:paraId="6C94180F" w14:textId="4F84066F" w:rsidR="00F63355" w:rsidRDefault="00F63355" w:rsidP="00F63355">
      <w:pPr>
        <w:widowControl/>
        <w:adjustRightInd w:val="0"/>
        <w:rPr>
          <w:rFonts w:eastAsiaTheme="minorHAnsi"/>
          <w:color w:val="FF0000"/>
          <w14:ligatures w14:val="standardContextual"/>
        </w:rPr>
      </w:pPr>
      <w:r>
        <w:rPr>
          <w:rFonts w:eastAsiaTheme="minorHAnsi"/>
          <w:color w:val="FF0000"/>
          <w14:ligatures w14:val="standardContextual"/>
        </w:rPr>
        <w:t>SP</w:t>
      </w:r>
      <w:r w:rsidRPr="005E63E4">
        <w:rPr>
          <w:rFonts w:eastAsiaTheme="minorHAnsi"/>
          <w:color w:val="FF0000"/>
          <w14:ligatures w14:val="standardContextual"/>
        </w:rPr>
        <w:t>-FBC</w:t>
      </w:r>
      <w:r w:rsidR="00B603B4">
        <w:rPr>
          <w:rFonts w:eastAsiaTheme="minorHAnsi"/>
          <w:color w:val="FF0000"/>
          <w14:ligatures w14:val="standardContextual"/>
        </w:rPr>
        <w:t xml:space="preserve"> - R</w:t>
      </w:r>
      <w:r>
        <w:rPr>
          <w:rFonts w:eastAsiaTheme="minorHAnsi"/>
          <w:color w:val="FF0000"/>
          <w14:ligatures w14:val="standardContextual"/>
        </w:rPr>
        <w:t xml:space="preserve"> - Ch. 3</w:t>
      </w:r>
      <w:r w:rsidRPr="005E63E4">
        <w:rPr>
          <w:rFonts w:eastAsiaTheme="minorHAnsi"/>
          <w:color w:val="FF0000"/>
          <w14:ligatures w14:val="standardContextual"/>
        </w:rPr>
        <w:t xml:space="preserve"> – </w:t>
      </w:r>
      <w:r>
        <w:rPr>
          <w:rFonts w:eastAsiaTheme="minorHAnsi"/>
          <w:color w:val="FF0000"/>
          <w14:ligatures w14:val="standardContextual"/>
        </w:rPr>
        <w:t xml:space="preserve">Glitch </w:t>
      </w:r>
      <w:r w:rsidR="00B603B4">
        <w:rPr>
          <w:rFonts w:eastAsiaTheme="minorHAnsi"/>
          <w:color w:val="FF0000"/>
          <w14:ligatures w14:val="standardContextual"/>
        </w:rPr>
        <w:t>#1</w:t>
      </w:r>
    </w:p>
    <w:p w14:paraId="4AE8CE96" w14:textId="77777777" w:rsidR="00D21CC0" w:rsidRDefault="00D21CC0" w:rsidP="00306CA6">
      <w:pPr>
        <w:rPr>
          <w:sz w:val="24"/>
          <w:szCs w:val="24"/>
        </w:rPr>
      </w:pPr>
    </w:p>
    <w:p w14:paraId="28062BB9" w14:textId="1EDE4C75" w:rsidR="00F63355" w:rsidRDefault="00F63355" w:rsidP="00306CA6">
      <w:pPr>
        <w:rPr>
          <w:sz w:val="24"/>
          <w:szCs w:val="24"/>
        </w:rPr>
      </w:pPr>
      <w:r>
        <w:rPr>
          <w:sz w:val="24"/>
          <w:szCs w:val="24"/>
        </w:rPr>
        <w:t xml:space="preserve">George Merlin – George Merlin Associates </w:t>
      </w:r>
    </w:p>
    <w:p w14:paraId="01E01AFD" w14:textId="77777777" w:rsidR="00F63355" w:rsidRDefault="00F63355" w:rsidP="00306CA6">
      <w:pPr>
        <w:rPr>
          <w:sz w:val="24"/>
          <w:szCs w:val="24"/>
        </w:rPr>
      </w:pPr>
    </w:p>
    <w:p w14:paraId="4941EC15" w14:textId="77777777" w:rsidR="00F63355" w:rsidRDefault="00F63355" w:rsidP="00F63355">
      <w:r>
        <w:t>Mr. Madani</w:t>
      </w:r>
    </w:p>
    <w:p w14:paraId="010AB567" w14:textId="77777777" w:rsidR="00F63355" w:rsidRDefault="00F63355" w:rsidP="00F63355"/>
    <w:p w14:paraId="12DDE6BE" w14:textId="77777777" w:rsidR="00F63355" w:rsidRDefault="00F63355" w:rsidP="00F63355">
      <w:r>
        <w:t>The following is for your consideration in the glitch/errata code change cycle for the upcoming 2023 Florida Building Code (FBC) and Florida Building Code- Residential (FBC R).</w:t>
      </w:r>
    </w:p>
    <w:p w14:paraId="65E9D4F3" w14:textId="77777777" w:rsidR="00F63355" w:rsidRDefault="00F63355" w:rsidP="00F63355">
      <w:r>
        <w:t xml:space="preserve">The </w:t>
      </w:r>
      <w:proofErr w:type="gramStart"/>
      <w:r>
        <w:t>criteria</w:t>
      </w:r>
      <w:proofErr w:type="gramEnd"/>
      <w:r>
        <w:t xml:space="preserve"> for this consideration is due to apparent </w:t>
      </w:r>
      <w:r>
        <w:rPr>
          <w:highlight w:val="yellow"/>
        </w:rPr>
        <w:t>conflicts within the updated code.</w:t>
      </w:r>
      <w:r>
        <w:t xml:space="preserve"> These conflicts have had an </w:t>
      </w:r>
      <w:r>
        <w:rPr>
          <w:highlight w:val="yellow"/>
        </w:rPr>
        <w:t>impact on local government interpretations and local building designers.</w:t>
      </w:r>
      <w:r>
        <w:t xml:space="preserve"> </w:t>
      </w:r>
    </w:p>
    <w:p w14:paraId="569B5005" w14:textId="77777777" w:rsidR="00F63355" w:rsidRDefault="00F63355" w:rsidP="00F63355"/>
    <w:p w14:paraId="1F59BAF7" w14:textId="77777777" w:rsidR="00F63355" w:rsidRDefault="00F63355" w:rsidP="00F63355">
      <w:r>
        <w:t>For residential construction proposed to be built within both FEMA flood zones and simultaneously within FDEP Coastal Construction Control zones, both the provisions of FBC R322 apply and the provisions of FBC 3109 apply. FBC section R322.1.11 states that “in addition to the requirements of this section structures located in flood zone areas and seaward of the coastal construction line shall be designed</w:t>
      </w:r>
      <w:proofErr w:type="gramStart"/>
      <w:r>
        <w:t>…..</w:t>
      </w:r>
      <w:proofErr w:type="gramEnd"/>
      <w:r>
        <w:t xml:space="preserve">in accordance with section 3109 of the FBC, Building, </w:t>
      </w:r>
      <w:r>
        <w:rPr>
          <w:u w:val="single"/>
        </w:rPr>
        <w:t>and the more restrictive provisions shall govern”.</w:t>
      </w:r>
      <w:r>
        <w:t xml:space="preserve"> This is also </w:t>
      </w:r>
      <w:proofErr w:type="gramStart"/>
      <w:r>
        <w:t>similar to</w:t>
      </w:r>
      <w:proofErr w:type="gramEnd"/>
      <w:r>
        <w:t xml:space="preserve"> the wording in the 2020 versions of both FBC and RFBC-Residential codes. </w:t>
      </w:r>
    </w:p>
    <w:p w14:paraId="506665D4" w14:textId="77777777" w:rsidR="00F63355" w:rsidRDefault="00F63355" w:rsidP="00F63355"/>
    <w:p w14:paraId="035D5687" w14:textId="77777777" w:rsidR="00F63355" w:rsidRDefault="00F63355" w:rsidP="00F63355">
      <w:r>
        <w:t xml:space="preserve">In comparing both FBC section R322 and section FBC 3109, it has been interpreted by some local government agencies that with the more restrictive provisions of </w:t>
      </w:r>
      <w:proofErr w:type="gramStart"/>
      <w:r>
        <w:t>both of these</w:t>
      </w:r>
      <w:proofErr w:type="gramEnd"/>
      <w:r>
        <w:t xml:space="preserve"> sections governing, that means that section FBC R322.2.2 subsection 1. nullifies the allowed uses noted in section FBC 3109.2 and FBC 3109.3.3 subsection </w:t>
      </w:r>
      <w:proofErr w:type="gramStart"/>
      <w:r>
        <w:t>5.b.</w:t>
      </w:r>
      <w:proofErr w:type="gramEnd"/>
      <w:r>
        <w:t xml:space="preserve"> since FBCR 322.2.2.subsection 1.  is more restrictive.</w:t>
      </w:r>
    </w:p>
    <w:p w14:paraId="2ECD2AB9" w14:textId="77777777" w:rsidR="00F63355" w:rsidRDefault="00F63355" w:rsidP="00F63355"/>
    <w:p w14:paraId="0FECBF18" w14:textId="77777777" w:rsidR="00F63355" w:rsidRDefault="00F63355" w:rsidP="00F63355">
      <w:r>
        <w:t>It has also been further interpreted by some agencies that section FBC R322.3.5 nullifies section FBC 3109.2.2 since FBCR 322.3.5 is more restrictive and disallows any walls (including shear walls) below the design flood elevation to be used for structural support of the building. (</w:t>
      </w:r>
      <w:proofErr w:type="gramStart"/>
      <w:r>
        <w:t>i.e.</w:t>
      </w:r>
      <w:proofErr w:type="gramEnd"/>
      <w:r>
        <w:t xml:space="preserve"> only pilings and columns are allowed for structural support of the building and all other walls must be breakaway). </w:t>
      </w:r>
    </w:p>
    <w:p w14:paraId="086BC4ED" w14:textId="77777777" w:rsidR="00F63355" w:rsidRDefault="00F63355" w:rsidP="00F63355"/>
    <w:p w14:paraId="296E7D55" w14:textId="77777777" w:rsidR="00F63355" w:rsidRDefault="00F63355" w:rsidP="00F63355">
      <w:r>
        <w:t xml:space="preserve">Unless it is the intention of the FBC to nullify the allowed uses in FBC 3109.2 and FBC 3109.3.3 subsection 5.b., and unless it is the intention of the FBC to nullify the use of any shear walls whatsoever which are allowed per FBC 3109.2.2,   then I suggest these sections of the FBC and/or FBCR be re worded to correct this conflict and misunderstanding among those interpreting these code sections </w:t>
      </w:r>
    </w:p>
    <w:p w14:paraId="0ECAF96D" w14:textId="77777777" w:rsidR="00F63355" w:rsidRDefault="00F63355" w:rsidP="00F63355">
      <w:r>
        <w:t xml:space="preserve">for residential construction that occurs simultaneously in both FEMA flood zones and CCCL zones. </w:t>
      </w:r>
    </w:p>
    <w:p w14:paraId="1BCF9262" w14:textId="77777777" w:rsidR="00F63355" w:rsidRDefault="00F63355" w:rsidP="00F63355"/>
    <w:p w14:paraId="052F6D88" w14:textId="77777777" w:rsidR="00F63355" w:rsidRDefault="00F63355" w:rsidP="00F63355">
      <w:r>
        <w:t>Thank you for your consideration.</w:t>
      </w:r>
    </w:p>
    <w:p w14:paraId="4FD992D3" w14:textId="77777777" w:rsidR="00F63355" w:rsidRDefault="00F63355" w:rsidP="00306CA6">
      <w:pPr>
        <w:rPr>
          <w:sz w:val="24"/>
          <w:szCs w:val="24"/>
        </w:rPr>
      </w:pPr>
    </w:p>
    <w:p w14:paraId="1CA2A683" w14:textId="77777777" w:rsidR="00B54C07" w:rsidRDefault="00B54C07" w:rsidP="00B54C07">
      <w:pPr>
        <w:rPr>
          <w:color w:val="1F497D"/>
          <w:u w:val="single"/>
        </w:rPr>
      </w:pPr>
      <w:r>
        <w:rPr>
          <w:color w:val="1F497D"/>
        </w:rPr>
        <w:t>My suggested re wording would be to change FBCR322.1.11 by adding at the end of that section and as underlined here</w:t>
      </w:r>
      <w:proofErr w:type="gramStart"/>
      <w:r>
        <w:rPr>
          <w:color w:val="1F497D"/>
        </w:rPr>
        <w:t>…..</w:t>
      </w:r>
      <w:proofErr w:type="gramEnd"/>
      <w:r>
        <w:rPr>
          <w:color w:val="1F497D"/>
        </w:rPr>
        <w:t xml:space="preserve"> “</w:t>
      </w:r>
      <w:proofErr w:type="gramStart"/>
      <w:r>
        <w:rPr>
          <w:color w:val="1F497D"/>
        </w:rPr>
        <w:t>and</w:t>
      </w:r>
      <w:proofErr w:type="gramEnd"/>
      <w:r>
        <w:rPr>
          <w:color w:val="1F497D"/>
        </w:rPr>
        <w:t xml:space="preserve"> the more restrictive provisions shall govern, </w:t>
      </w:r>
      <w:r>
        <w:rPr>
          <w:color w:val="1F497D"/>
          <w:u w:val="single"/>
        </w:rPr>
        <w:t xml:space="preserve">except that the allowed uses as noted in FBC 3109.2 and 3109.3.3 subsection 5.b and the use of shear walls as noted in FBC 3109.2.2 shall not be restricted.” </w:t>
      </w:r>
    </w:p>
    <w:p w14:paraId="26DAA8E9" w14:textId="77777777" w:rsidR="00B54C07" w:rsidRDefault="00B54C07" w:rsidP="00B54C07">
      <w:pPr>
        <w:rPr>
          <w:color w:val="1F497D"/>
        </w:rPr>
      </w:pPr>
    </w:p>
    <w:p w14:paraId="347C3F48" w14:textId="77777777" w:rsidR="00B54C07" w:rsidRDefault="00B54C07" w:rsidP="00B54C07">
      <w:pPr>
        <w:widowControl/>
        <w:numPr>
          <w:ilvl w:val="0"/>
          <w:numId w:val="2"/>
        </w:numPr>
        <w:autoSpaceDE/>
        <w:autoSpaceDN/>
      </w:pPr>
      <w:r>
        <w:t xml:space="preserve">It must fall within </w:t>
      </w:r>
      <w:r>
        <w:rPr>
          <w:highlight w:val="yellow"/>
        </w:rPr>
        <w:t>one</w:t>
      </w:r>
      <w:r>
        <w:t xml:space="preserve"> of the following criteria:</w:t>
      </w:r>
    </w:p>
    <w:p w14:paraId="1D947F94" w14:textId="77777777" w:rsidR="00B54C07" w:rsidRDefault="00B54C07" w:rsidP="00B54C07">
      <w:pPr>
        <w:widowControl/>
        <w:numPr>
          <w:ilvl w:val="0"/>
          <w:numId w:val="3"/>
        </w:numPr>
        <w:autoSpaceDE/>
        <w:autoSpaceDN/>
        <w:spacing w:before="100" w:beforeAutospacing="1" w:after="100" w:afterAutospacing="1"/>
        <w:rPr>
          <w:sz w:val="24"/>
          <w:szCs w:val="24"/>
          <w:highlight w:val="yellow"/>
        </w:rPr>
      </w:pPr>
      <w:r>
        <w:rPr>
          <w:sz w:val="24"/>
          <w:szCs w:val="24"/>
        </w:rPr>
        <w:lastRenderedPageBreak/>
        <w:t xml:space="preserve">Conflicts within the updated code; </w:t>
      </w:r>
      <w:r>
        <w:rPr>
          <w:sz w:val="24"/>
          <w:szCs w:val="24"/>
          <w:highlight w:val="yellow"/>
        </w:rPr>
        <w:t>MY PROPOSED GLITCH CODE CHANGE IS TO ADDRESS APPARENT CONFLICTS WITHIN THE UPDATED CODE</w:t>
      </w:r>
    </w:p>
    <w:p w14:paraId="64EF231C"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 xml:space="preserve">Conflicts between the updated code and the Florida Fire Prevention Code adopted pursuant to chapter </w:t>
      </w:r>
      <w:proofErr w:type="gramStart"/>
      <w:r>
        <w:rPr>
          <w:sz w:val="24"/>
          <w:szCs w:val="24"/>
        </w:rPr>
        <w:t>633;</w:t>
      </w:r>
      <w:proofErr w:type="gramEnd"/>
      <w:r>
        <w:rPr>
          <w:sz w:val="24"/>
          <w:szCs w:val="24"/>
        </w:rPr>
        <w:t xml:space="preserve"> </w:t>
      </w:r>
    </w:p>
    <w:p w14:paraId="4522DAEA"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 xml:space="preserve">Equivalency of </w:t>
      </w:r>
      <w:proofErr w:type="gramStart"/>
      <w:r>
        <w:rPr>
          <w:sz w:val="24"/>
          <w:szCs w:val="24"/>
        </w:rPr>
        <w:t>standards;</w:t>
      </w:r>
      <w:proofErr w:type="gramEnd"/>
    </w:p>
    <w:p w14:paraId="65351281"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 xml:space="preserve">Changes to or inconsistencies with federal or state </w:t>
      </w:r>
      <w:proofErr w:type="gramStart"/>
      <w:r>
        <w:rPr>
          <w:sz w:val="24"/>
          <w:szCs w:val="24"/>
        </w:rPr>
        <w:t>law;</w:t>
      </w:r>
      <w:proofErr w:type="gramEnd"/>
    </w:p>
    <w:p w14:paraId="4013D45A"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Adoption of an updated edition of the National Electrical Code if the Commission finds that delay of implementing the updated edition causes undue hardship to stakeholders or otherwise threatens the public health, safety, and welfare; or</w:t>
      </w:r>
    </w:p>
    <w:p w14:paraId="53C65357" w14:textId="77777777" w:rsidR="00B54C07" w:rsidRDefault="00B54C07" w:rsidP="00B54C07">
      <w:pPr>
        <w:widowControl/>
        <w:numPr>
          <w:ilvl w:val="0"/>
          <w:numId w:val="3"/>
        </w:numPr>
        <w:autoSpaceDE/>
        <w:autoSpaceDN/>
        <w:spacing w:before="100" w:beforeAutospacing="1" w:after="100" w:afterAutospacing="1"/>
        <w:rPr>
          <w:sz w:val="24"/>
          <w:szCs w:val="24"/>
        </w:rPr>
      </w:pPr>
      <w:r>
        <w:rPr>
          <w:sz w:val="24"/>
          <w:szCs w:val="24"/>
        </w:rPr>
        <w:t xml:space="preserve">Unintended results from the integration of previously adopted Florida-specific amendments with the model code. </w:t>
      </w:r>
    </w:p>
    <w:p w14:paraId="7A7817DA" w14:textId="77777777" w:rsidR="00B54C07" w:rsidRDefault="00B54C07" w:rsidP="00B54C07">
      <w:pPr>
        <w:widowControl/>
        <w:numPr>
          <w:ilvl w:val="0"/>
          <w:numId w:val="2"/>
        </w:numPr>
        <w:autoSpaceDE/>
        <w:autoSpaceDN/>
        <w:spacing w:before="100" w:beforeAutospacing="1" w:after="100" w:afterAutospacing="1"/>
        <w:rPr>
          <w:sz w:val="24"/>
          <w:szCs w:val="24"/>
        </w:rPr>
      </w:pPr>
      <w:r>
        <w:rPr>
          <w:sz w:val="24"/>
          <w:szCs w:val="24"/>
        </w:rPr>
        <w:t xml:space="preserve">The </w:t>
      </w:r>
      <w:r>
        <w:rPr>
          <w:sz w:val="24"/>
          <w:szCs w:val="24"/>
          <w:highlight w:val="yellow"/>
        </w:rPr>
        <w:t>proponent must address as part of the rationale for the proposed code change the following:</w:t>
      </w:r>
    </w:p>
    <w:p w14:paraId="6C3811EF"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Whether the proposed code change falls within the glitch criteria stated above. </w:t>
      </w:r>
      <w:r>
        <w:rPr>
          <w:sz w:val="24"/>
          <w:szCs w:val="24"/>
          <w:highlight w:val="yellow"/>
        </w:rPr>
        <w:t>MY PROPOSED CODE CHANGE REQUEST MEETS THE CRITERIA STATED ABOVE DUE TO APPARENT CONFLICT WITHIN THE UPDATED CODE</w:t>
      </w:r>
    </w:p>
    <w:p w14:paraId="3E14F4E3" w14:textId="77777777" w:rsidR="00B54C07" w:rsidRDefault="00B54C07" w:rsidP="00B54C07">
      <w:pPr>
        <w:widowControl/>
        <w:numPr>
          <w:ilvl w:val="0"/>
          <w:numId w:val="4"/>
        </w:numPr>
        <w:autoSpaceDE/>
        <w:autoSpaceDN/>
        <w:spacing w:before="100" w:beforeAutospacing="1" w:after="100" w:afterAutospacing="1"/>
        <w:rPr>
          <w:sz w:val="24"/>
          <w:szCs w:val="24"/>
        </w:rPr>
      </w:pPr>
      <w:r>
        <w:rPr>
          <w:sz w:val="24"/>
          <w:szCs w:val="24"/>
        </w:rPr>
        <w:t>Whether the proposed code change has a Florida specific need.</w:t>
      </w:r>
      <w:r>
        <w:rPr>
          <w:sz w:val="24"/>
          <w:szCs w:val="24"/>
          <w:highlight w:val="yellow"/>
        </w:rPr>
        <w:t>MY PROPOSED CODE CHANGE REQUEST HAS A FLORIDA SPECIFIC NEED AS IT ADDRESSES RESIDENTIAL CONSTRUCTION SPECIFIC TO FLORIDA, IN MULTIPLE FLOOD ZONES</w:t>
      </w:r>
      <w:r>
        <w:rPr>
          <w:sz w:val="24"/>
          <w:szCs w:val="24"/>
        </w:rPr>
        <w:t>.</w:t>
      </w:r>
    </w:p>
    <w:p w14:paraId="45037411"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What the impact is on small businesses. </w:t>
      </w:r>
      <w:r>
        <w:rPr>
          <w:sz w:val="24"/>
          <w:szCs w:val="24"/>
          <w:highlight w:val="yellow"/>
        </w:rPr>
        <w:t xml:space="preserve">MY PROPOSED CODE CHANGE REQUEST ADDRESSES CURRENT ADVERSE IMPACT ON BOTH LOCAL GOVERNMENT AGENCIES AND BUILDING DESIGNERS WHO EXPERIENCE CONFLICT AND DIFFEREING MISINTERPRETATIONS BETWEEN THE FLORIDA BUILDING CODE AND THE FLORIDA BUILDING CODE-RESIDENTIAL ON THIS MATTER. </w:t>
      </w:r>
    </w:p>
    <w:p w14:paraId="30889495"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Whether the proposed code change has a reasonable and substantial connection with the health, safety, and welfare of the </w:t>
      </w:r>
      <w:proofErr w:type="gramStart"/>
      <w:r>
        <w:rPr>
          <w:sz w:val="24"/>
          <w:szCs w:val="24"/>
        </w:rPr>
        <w:t>general public</w:t>
      </w:r>
      <w:proofErr w:type="gramEnd"/>
      <w:r>
        <w:rPr>
          <w:sz w:val="24"/>
          <w:szCs w:val="24"/>
        </w:rPr>
        <w:t xml:space="preserve">. </w:t>
      </w:r>
      <w:r>
        <w:rPr>
          <w:sz w:val="24"/>
          <w:szCs w:val="24"/>
          <w:highlight w:val="yellow"/>
        </w:rPr>
        <w:t xml:space="preserve">SINCE FLOOD ZONE CONSTRUCTION RESTRICTIONS AND ALLOWED USES EFFECT PUBLIC HEALTH, SAFETY AND WELFARE, IT IS REASONABLE TO EXPECT CLARITY FROM THE FLORIDA BUILDING CODES REGARDING THESE MATTERS. </w:t>
      </w:r>
    </w:p>
    <w:p w14:paraId="02B8DAE5"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Whether the proposed code change strengthens or improves the Florida Building Code. </w:t>
      </w:r>
      <w:r>
        <w:rPr>
          <w:sz w:val="24"/>
          <w:szCs w:val="24"/>
          <w:highlight w:val="yellow"/>
        </w:rPr>
        <w:t xml:space="preserve">CLARIFICATION OF APPARENT CONFLICTS IN THE CODE, IN ORDER TO AVOID POSSIBLE MISUNDERSTANDING AND/OR MISINTERPRETATION BY USERS THEREOF, STRENGTHENS THE FLORIDA BUILDING CODE. </w:t>
      </w:r>
    </w:p>
    <w:p w14:paraId="08B2309A" w14:textId="77777777" w:rsidR="00B54C07" w:rsidRDefault="00B54C07" w:rsidP="00B54C07">
      <w:pPr>
        <w:widowControl/>
        <w:numPr>
          <w:ilvl w:val="0"/>
          <w:numId w:val="4"/>
        </w:numPr>
        <w:autoSpaceDE/>
        <w:autoSpaceDN/>
        <w:spacing w:before="100" w:beforeAutospacing="1" w:after="100" w:afterAutospacing="1"/>
        <w:rPr>
          <w:sz w:val="24"/>
          <w:szCs w:val="24"/>
        </w:rPr>
      </w:pPr>
      <w:r>
        <w:rPr>
          <w:sz w:val="24"/>
          <w:szCs w:val="24"/>
        </w:rPr>
        <w:t xml:space="preserve">The proposed code change does not discriminate against materials, products, methods, or systems of construction of demonstrated capabilities. </w:t>
      </w:r>
      <w:r>
        <w:rPr>
          <w:sz w:val="24"/>
          <w:szCs w:val="24"/>
          <w:highlight w:val="yellow"/>
        </w:rPr>
        <w:t xml:space="preserve">MY PROPOSED CODE CHANGE DOESN’T DISCRIMINATE AGAINST ANY MATERIALS, PRODUCTS, </w:t>
      </w:r>
      <w:proofErr w:type="gramStart"/>
      <w:r>
        <w:rPr>
          <w:sz w:val="24"/>
          <w:szCs w:val="24"/>
          <w:highlight w:val="yellow"/>
        </w:rPr>
        <w:t>METHODS</w:t>
      </w:r>
      <w:proofErr w:type="gramEnd"/>
      <w:r>
        <w:rPr>
          <w:sz w:val="24"/>
          <w:szCs w:val="24"/>
          <w:highlight w:val="yellow"/>
        </w:rPr>
        <w:t xml:space="preserve"> OR SYSTEMS OF CONSTRUCTION.</w:t>
      </w:r>
      <w:r>
        <w:rPr>
          <w:sz w:val="24"/>
          <w:szCs w:val="24"/>
        </w:rPr>
        <w:t xml:space="preserve"> </w:t>
      </w:r>
    </w:p>
    <w:p w14:paraId="36FF3A46" w14:textId="77777777" w:rsidR="00B54C07" w:rsidRDefault="00B54C07" w:rsidP="00B54C07">
      <w:pPr>
        <w:widowControl/>
        <w:numPr>
          <w:ilvl w:val="0"/>
          <w:numId w:val="4"/>
        </w:numPr>
        <w:autoSpaceDE/>
        <w:autoSpaceDN/>
        <w:spacing w:before="100" w:beforeAutospacing="1" w:after="100" w:afterAutospacing="1"/>
        <w:rPr>
          <w:sz w:val="24"/>
          <w:szCs w:val="24"/>
          <w:highlight w:val="yellow"/>
        </w:rPr>
      </w:pPr>
      <w:r>
        <w:rPr>
          <w:sz w:val="24"/>
          <w:szCs w:val="24"/>
        </w:rPr>
        <w:t xml:space="preserve">The proposed code change does not degrade the effectiveness of the Florida Building Code. </w:t>
      </w:r>
      <w:r>
        <w:rPr>
          <w:sz w:val="24"/>
          <w:szCs w:val="24"/>
          <w:highlight w:val="yellow"/>
        </w:rPr>
        <w:t xml:space="preserve">MY PROPOSED CODE CHANGE DOESN’T DEGRADE THE </w:t>
      </w:r>
      <w:r>
        <w:rPr>
          <w:sz w:val="24"/>
          <w:szCs w:val="24"/>
          <w:highlight w:val="yellow"/>
        </w:rPr>
        <w:lastRenderedPageBreak/>
        <w:t xml:space="preserve">EFFECTIVENESS OF THE FLORIDA BUILIDNG CODE. IT WOULD HAVE THE OPPOSITE EFFECT AND IMPROVE THE CLARIFY OF THE CODE. </w:t>
      </w:r>
    </w:p>
    <w:p w14:paraId="0358AE5A" w14:textId="77777777" w:rsidR="00B54C07" w:rsidRDefault="00B54C07" w:rsidP="00B54C07">
      <w:pPr>
        <w:rPr>
          <w:color w:val="1F497D"/>
        </w:rPr>
      </w:pPr>
    </w:p>
    <w:p w14:paraId="50C9914E" w14:textId="77777777" w:rsidR="00B54C07" w:rsidRPr="00B603B4" w:rsidRDefault="00B54C07" w:rsidP="00B54C07">
      <w:pPr>
        <w:rPr>
          <w:rFonts w:ascii="TimesNewRoman" w:eastAsiaTheme="minorHAnsi" w:hAnsi="TimesNewRoman" w:cs="TimesNewRoman"/>
          <w:sz w:val="20"/>
          <w:szCs w:val="20"/>
          <w14:ligatures w14:val="standardContextual"/>
        </w:rPr>
      </w:pPr>
      <w:r w:rsidRPr="00B603B4">
        <w:rPr>
          <w:rFonts w:ascii="TimesNewRoman" w:eastAsiaTheme="minorHAnsi" w:hAnsi="TimesNewRoman" w:cs="TimesNewRoman"/>
          <w:b/>
          <w:bCs/>
          <w:sz w:val="20"/>
          <w:szCs w:val="20"/>
          <w14:ligatures w14:val="standardContextual"/>
        </w:rPr>
        <w:t>TAC Recommendation</w:t>
      </w:r>
      <w:r w:rsidRPr="00B603B4">
        <w:rPr>
          <w:rFonts w:ascii="TimesNewRoman" w:eastAsiaTheme="minorHAnsi" w:hAnsi="TimesNewRoman" w:cs="TimesNewRoman"/>
          <w:sz w:val="20"/>
          <w:szCs w:val="20"/>
          <w14:ligatures w14:val="standardContextual"/>
        </w:rPr>
        <w:t>:</w:t>
      </w:r>
    </w:p>
    <w:p w14:paraId="5FD84243" w14:textId="77777777" w:rsidR="00B54C07" w:rsidRPr="00B603B4" w:rsidRDefault="00B54C07" w:rsidP="00B54C07">
      <w:pPr>
        <w:rPr>
          <w:rFonts w:ascii="TimesNewRoman" w:eastAsiaTheme="minorHAnsi" w:hAnsi="TimesNewRoman" w:cs="TimesNewRoman"/>
          <w:sz w:val="20"/>
          <w:szCs w:val="20"/>
          <w14:ligatures w14:val="standardContextual"/>
        </w:rPr>
      </w:pPr>
    </w:p>
    <w:p w14:paraId="0672F7E2" w14:textId="77777777" w:rsidR="00B54C07" w:rsidRPr="00B603B4" w:rsidRDefault="00B54C07" w:rsidP="00B54C07">
      <w:pPr>
        <w:rPr>
          <w:rFonts w:ascii="TimesNewRoman" w:eastAsiaTheme="minorHAnsi" w:hAnsi="TimesNewRoman" w:cs="TimesNewRoman"/>
          <w:b/>
          <w:bCs/>
          <w:sz w:val="20"/>
          <w:szCs w:val="20"/>
          <w14:ligatures w14:val="standardContextual"/>
        </w:rPr>
      </w:pPr>
      <w:r w:rsidRPr="00B603B4">
        <w:rPr>
          <w:rFonts w:ascii="TimesNewRoman" w:eastAsiaTheme="minorHAnsi" w:hAnsi="TimesNewRoman" w:cs="TimesNewRoman"/>
          <w:b/>
          <w:bCs/>
          <w:sz w:val="20"/>
          <w:szCs w:val="20"/>
          <w14:ligatures w14:val="standardContextual"/>
        </w:rPr>
        <w:t>Commission Action:</w:t>
      </w:r>
    </w:p>
    <w:p w14:paraId="7FB8E3B7" w14:textId="77777777" w:rsidR="00B54C07" w:rsidRPr="00306CA6" w:rsidRDefault="00B54C07" w:rsidP="00306CA6">
      <w:pPr>
        <w:rPr>
          <w:sz w:val="24"/>
          <w:szCs w:val="24"/>
        </w:rPr>
      </w:pPr>
    </w:p>
    <w:sectPr w:rsidR="00B54C07" w:rsidRPr="00306C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C4B19" w14:textId="77777777" w:rsidR="002B3D1D" w:rsidRDefault="002B3D1D" w:rsidP="002B3D1D">
      <w:r>
        <w:separator/>
      </w:r>
    </w:p>
  </w:endnote>
  <w:endnote w:type="continuationSeparator" w:id="0">
    <w:p w14:paraId="559A4A82" w14:textId="77777777" w:rsidR="002B3D1D" w:rsidRDefault="002B3D1D" w:rsidP="002B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
    <w:altName w:val="Times New Roman"/>
    <w:charset w:val="00"/>
    <w:family w:val="auto"/>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B731" w14:textId="77777777" w:rsidR="002B3D1D" w:rsidRDefault="002B3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408238"/>
      <w:docPartObj>
        <w:docPartGallery w:val="Page Numbers (Bottom of Page)"/>
        <w:docPartUnique/>
      </w:docPartObj>
    </w:sdtPr>
    <w:sdtEndPr>
      <w:rPr>
        <w:noProof/>
      </w:rPr>
    </w:sdtEndPr>
    <w:sdtContent>
      <w:p w14:paraId="7F02314B" w14:textId="77A5889D" w:rsidR="002B3D1D" w:rsidRDefault="002B3D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19396C" w14:textId="77777777" w:rsidR="002B3D1D" w:rsidRDefault="002B3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B804" w14:textId="77777777" w:rsidR="002B3D1D" w:rsidRDefault="002B3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9359" w14:textId="77777777" w:rsidR="002B3D1D" w:rsidRDefault="002B3D1D" w:rsidP="002B3D1D">
      <w:r>
        <w:separator/>
      </w:r>
    </w:p>
  </w:footnote>
  <w:footnote w:type="continuationSeparator" w:id="0">
    <w:p w14:paraId="2525F99E" w14:textId="77777777" w:rsidR="002B3D1D" w:rsidRDefault="002B3D1D" w:rsidP="002B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8FCC" w14:textId="77777777" w:rsidR="002B3D1D" w:rsidRDefault="002B3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8521" w14:textId="77777777" w:rsidR="002B3D1D" w:rsidRDefault="002B3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3942" w14:textId="77777777" w:rsidR="002B3D1D" w:rsidRDefault="002B3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043B29"/>
    <w:multiLevelType w:val="hybridMultilevel"/>
    <w:tmpl w:val="6228213A"/>
    <w:lvl w:ilvl="0" w:tplc="688AD0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7374F88"/>
    <w:multiLevelType w:val="hybridMultilevel"/>
    <w:tmpl w:val="211EC786"/>
    <w:lvl w:ilvl="0" w:tplc="FFB6B7B4">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74607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633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9000578">
    <w:abstractNumId w:val="1"/>
  </w:num>
  <w:num w:numId="4" w16cid:durableId="134956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82"/>
    <w:rsid w:val="002B3D1D"/>
    <w:rsid w:val="00306CA6"/>
    <w:rsid w:val="00315DA0"/>
    <w:rsid w:val="003E4A5F"/>
    <w:rsid w:val="005C7C34"/>
    <w:rsid w:val="005E01E8"/>
    <w:rsid w:val="00634BB0"/>
    <w:rsid w:val="007D6C0E"/>
    <w:rsid w:val="0083003C"/>
    <w:rsid w:val="008D6E82"/>
    <w:rsid w:val="00B36A0E"/>
    <w:rsid w:val="00B54C07"/>
    <w:rsid w:val="00B603B4"/>
    <w:rsid w:val="00D21CC0"/>
    <w:rsid w:val="00D30C98"/>
    <w:rsid w:val="00F63355"/>
    <w:rsid w:val="00FF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3C9B"/>
  <w15:chartTrackingRefBased/>
  <w15:docId w15:val="{70546B42-323B-46E5-A961-E858BCE5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4B82"/>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A0E"/>
    <w:pPr>
      <w:widowControl/>
      <w:autoSpaceDE/>
      <w:autoSpaceDN/>
      <w:spacing w:before="100" w:beforeAutospacing="1" w:after="100" w:afterAutospacing="1"/>
    </w:pPr>
    <w:rPr>
      <w:rFonts w:ascii="Calibri" w:eastAsiaTheme="minorHAnsi" w:hAnsi="Calibri" w:cs="Calibri"/>
    </w:rPr>
  </w:style>
  <w:style w:type="paragraph" w:styleId="Header">
    <w:name w:val="header"/>
    <w:basedOn w:val="Normal"/>
    <w:link w:val="HeaderChar"/>
    <w:uiPriority w:val="99"/>
    <w:unhideWhenUsed/>
    <w:rsid w:val="002B3D1D"/>
    <w:pPr>
      <w:tabs>
        <w:tab w:val="center" w:pos="4680"/>
        <w:tab w:val="right" w:pos="9360"/>
      </w:tabs>
    </w:pPr>
  </w:style>
  <w:style w:type="character" w:customStyle="1" w:styleId="HeaderChar">
    <w:name w:val="Header Char"/>
    <w:basedOn w:val="DefaultParagraphFont"/>
    <w:link w:val="Header"/>
    <w:uiPriority w:val="99"/>
    <w:rsid w:val="002B3D1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B3D1D"/>
    <w:pPr>
      <w:tabs>
        <w:tab w:val="center" w:pos="4680"/>
        <w:tab w:val="right" w:pos="9360"/>
      </w:tabs>
    </w:pPr>
  </w:style>
  <w:style w:type="character" w:customStyle="1" w:styleId="FooterChar">
    <w:name w:val="Footer Char"/>
    <w:basedOn w:val="DefaultParagraphFont"/>
    <w:link w:val="Footer"/>
    <w:uiPriority w:val="99"/>
    <w:rsid w:val="002B3D1D"/>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96380">
      <w:bodyDiv w:val="1"/>
      <w:marLeft w:val="0"/>
      <w:marRight w:val="0"/>
      <w:marTop w:val="0"/>
      <w:marBottom w:val="0"/>
      <w:divBdr>
        <w:top w:val="none" w:sz="0" w:space="0" w:color="auto"/>
        <w:left w:val="none" w:sz="0" w:space="0" w:color="auto"/>
        <w:bottom w:val="none" w:sz="0" w:space="0" w:color="auto"/>
        <w:right w:val="none" w:sz="0" w:space="0" w:color="auto"/>
      </w:divBdr>
    </w:div>
    <w:div w:id="1214269447">
      <w:bodyDiv w:val="1"/>
      <w:marLeft w:val="0"/>
      <w:marRight w:val="0"/>
      <w:marTop w:val="0"/>
      <w:marBottom w:val="0"/>
      <w:divBdr>
        <w:top w:val="none" w:sz="0" w:space="0" w:color="auto"/>
        <w:left w:val="none" w:sz="0" w:space="0" w:color="auto"/>
        <w:bottom w:val="none" w:sz="0" w:space="0" w:color="auto"/>
        <w:right w:val="none" w:sz="0" w:space="0" w:color="auto"/>
      </w:divBdr>
    </w:div>
    <w:div w:id="1472556525">
      <w:bodyDiv w:val="1"/>
      <w:marLeft w:val="0"/>
      <w:marRight w:val="0"/>
      <w:marTop w:val="0"/>
      <w:marBottom w:val="0"/>
      <w:divBdr>
        <w:top w:val="none" w:sz="0" w:space="0" w:color="auto"/>
        <w:left w:val="none" w:sz="0" w:space="0" w:color="auto"/>
        <w:bottom w:val="none" w:sz="0" w:space="0" w:color="auto"/>
        <w:right w:val="none" w:sz="0" w:space="0" w:color="auto"/>
      </w:divBdr>
    </w:div>
    <w:div w:id="1664626743">
      <w:bodyDiv w:val="1"/>
      <w:marLeft w:val="0"/>
      <w:marRight w:val="0"/>
      <w:marTop w:val="0"/>
      <w:marBottom w:val="0"/>
      <w:divBdr>
        <w:top w:val="none" w:sz="0" w:space="0" w:color="auto"/>
        <w:left w:val="none" w:sz="0" w:space="0" w:color="auto"/>
        <w:bottom w:val="none" w:sz="0" w:space="0" w:color="auto"/>
        <w:right w:val="none" w:sz="0" w:space="0" w:color="auto"/>
      </w:divBdr>
    </w:div>
    <w:div w:id="18890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5</cp:revision>
  <dcterms:created xsi:type="dcterms:W3CDTF">2023-11-04T20:04:00Z</dcterms:created>
  <dcterms:modified xsi:type="dcterms:W3CDTF">2023-11-14T00:46:00Z</dcterms:modified>
</cp:coreProperties>
</file>