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60A2" w14:textId="2FAA23BA" w:rsidR="0054771C" w:rsidRDefault="0054771C" w:rsidP="0054771C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Accessibility Technical Advisory Committee – Errata/Glitch </w:t>
      </w:r>
    </w:p>
    <w:p w14:paraId="6B9ED47B" w14:textId="77777777" w:rsidR="0054771C" w:rsidRDefault="0054771C" w:rsidP="0054771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8th Edition (2023) Florida Building Code, Building </w:t>
      </w:r>
    </w:p>
    <w:p w14:paraId="37597C04" w14:textId="77777777" w:rsidR="00634BB0" w:rsidRDefault="00634BB0"/>
    <w:p w14:paraId="31BA5D26" w14:textId="77777777" w:rsidR="0054771C" w:rsidRPr="0054771C" w:rsidRDefault="0054771C" w:rsidP="0054771C">
      <w:pPr>
        <w:widowControl/>
        <w:adjustRightInd w:val="0"/>
        <w:rPr>
          <w:sz w:val="24"/>
          <w:szCs w:val="24"/>
        </w:rPr>
      </w:pPr>
      <w:r w:rsidRPr="0054771C">
        <w:rPr>
          <w:rFonts w:ascii="Arial,Bold" w:eastAsiaTheme="minorHAnsi" w:hAnsi="Arial,Bold" w:cs="Arial,Bold"/>
          <w:b/>
          <w:bCs/>
          <w:sz w:val="24"/>
          <w:szCs w:val="24"/>
          <w14:ligatures w14:val="standardContextual"/>
        </w:rPr>
        <w:t>CHAPTER 10 MEANS OF EGRESS</w:t>
      </w:r>
    </w:p>
    <w:p w14:paraId="559437A5" w14:textId="77777777" w:rsidR="0054771C" w:rsidRPr="0054771C" w:rsidRDefault="0054771C" w:rsidP="0054771C">
      <w:pPr>
        <w:rPr>
          <w:sz w:val="24"/>
          <w:szCs w:val="24"/>
        </w:rPr>
      </w:pPr>
    </w:p>
    <w:p w14:paraId="3227A1AA" w14:textId="0DC434C2" w:rsidR="0054771C" w:rsidRPr="0054771C" w:rsidRDefault="0015089A" w:rsidP="0054771C">
      <w:pPr>
        <w:widowControl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F/</w:t>
      </w:r>
      <w:r w:rsidR="0054771C" w:rsidRPr="0054771C">
        <w:rPr>
          <w:rFonts w:eastAsiaTheme="minorHAnsi"/>
          <w:color w:val="FF0000"/>
        </w:rPr>
        <w:t xml:space="preserve">AC-FBC- B-Ch. 10 – Errata </w:t>
      </w:r>
      <w:r>
        <w:rPr>
          <w:rFonts w:eastAsiaTheme="minorHAnsi"/>
          <w:color w:val="FF0000"/>
        </w:rPr>
        <w:t>#1</w:t>
      </w:r>
    </w:p>
    <w:p w14:paraId="3571BFBD" w14:textId="77777777" w:rsidR="0054771C" w:rsidRPr="0054771C" w:rsidRDefault="0054771C" w:rsidP="0054771C">
      <w:pPr>
        <w:widowControl/>
        <w:adjustRightInd w:val="0"/>
        <w:rPr>
          <w:rFonts w:eastAsiaTheme="minorHAnsi"/>
          <w:color w:val="FF0000"/>
        </w:rPr>
      </w:pPr>
    </w:p>
    <w:p w14:paraId="67D58C5A" w14:textId="77777777" w:rsidR="0054771C" w:rsidRPr="0054771C" w:rsidRDefault="0054771C" w:rsidP="0054771C">
      <w:pPr>
        <w:rPr>
          <w:rFonts w:ascii="Century Gothic" w:hAnsi="Century Gothic"/>
          <w:b/>
          <w:bCs/>
          <w:color w:val="808080"/>
        </w:rPr>
      </w:pPr>
      <w:r w:rsidRPr="0054771C">
        <w:rPr>
          <w:rFonts w:ascii="Century Gothic" w:hAnsi="Century Gothic"/>
          <w:b/>
          <w:bCs/>
          <w:color w:val="808080"/>
        </w:rPr>
        <w:t>Katrina Fumagali, AIA</w:t>
      </w:r>
    </w:p>
    <w:p w14:paraId="0676389B" w14:textId="77777777" w:rsidR="0054771C" w:rsidRPr="0054771C" w:rsidRDefault="0054771C" w:rsidP="0054771C"/>
    <w:p w14:paraId="006658F8" w14:textId="77777777" w:rsidR="0054771C" w:rsidRPr="0054771C" w:rsidRDefault="0054771C" w:rsidP="0054771C">
      <w:r w:rsidRPr="0054771C">
        <w:t>Mr. Madani,</w:t>
      </w:r>
    </w:p>
    <w:p w14:paraId="716FE095" w14:textId="77777777" w:rsidR="0054771C" w:rsidRPr="0054771C" w:rsidRDefault="0054771C" w:rsidP="0054771C"/>
    <w:p w14:paraId="6C07A0B3" w14:textId="77777777" w:rsidR="0054771C" w:rsidRPr="0054771C" w:rsidRDefault="0054771C" w:rsidP="0054771C">
      <w:r w:rsidRPr="0054771C">
        <w:t xml:space="preserve">Thank you for taking the time to speak with me today. </w:t>
      </w:r>
    </w:p>
    <w:p w14:paraId="7BACE2E4" w14:textId="77777777" w:rsidR="0054771C" w:rsidRPr="0054771C" w:rsidRDefault="0054771C" w:rsidP="0054771C">
      <w:r w:rsidRPr="0054771C">
        <w:t>Below is a summary of our discussion:</w:t>
      </w:r>
    </w:p>
    <w:p w14:paraId="32894C60" w14:textId="77777777" w:rsidR="0054771C" w:rsidRPr="0054771C" w:rsidRDefault="0054771C" w:rsidP="0054771C"/>
    <w:p w14:paraId="5843C8FA" w14:textId="77777777" w:rsidR="0054771C" w:rsidRPr="0054771C" w:rsidRDefault="0054771C" w:rsidP="0054771C">
      <w:r w:rsidRPr="0054771C">
        <w:t xml:space="preserve">The Florida Accessibility Code (FAC) is a standalone guideline that has been updated. </w:t>
      </w:r>
    </w:p>
    <w:p w14:paraId="3B821150" w14:textId="77777777" w:rsidR="0054771C" w:rsidRPr="0054771C" w:rsidRDefault="0054771C" w:rsidP="0054771C">
      <w:r w:rsidRPr="0054771C">
        <w:t>By law, if there is a conflict between the Florida Building Code and the Florida Accessibility Code, we shall always defer to the FAC.</w:t>
      </w:r>
    </w:p>
    <w:p w14:paraId="07DEF286" w14:textId="77777777" w:rsidR="0054771C" w:rsidRPr="0054771C" w:rsidRDefault="0054771C" w:rsidP="0054771C"/>
    <w:p w14:paraId="0F0AA499" w14:textId="77777777" w:rsidR="0054771C" w:rsidRPr="0054771C" w:rsidRDefault="0054771C" w:rsidP="0054771C">
      <w:r w:rsidRPr="0054771C">
        <w:t>These are the references from the FBC:</w:t>
      </w:r>
    </w:p>
    <w:p w14:paraId="2659319D" w14:textId="77777777" w:rsidR="0054771C" w:rsidRPr="0054771C" w:rsidRDefault="0054771C" w:rsidP="0054771C"/>
    <w:p w14:paraId="46D11812" w14:textId="77777777" w:rsidR="0054771C" w:rsidRPr="0054771C" w:rsidRDefault="0054771C" w:rsidP="0054771C">
      <w:pPr>
        <w:rPr>
          <w:rFonts w:ascii="Roboto" w:hAnsi="Roboto"/>
          <w:b/>
          <w:bCs/>
        </w:rPr>
      </w:pPr>
      <w:r w:rsidRPr="0054771C">
        <w:rPr>
          <w:rFonts w:ascii="Roboto" w:hAnsi="Roboto"/>
          <w:b/>
          <w:bCs/>
        </w:rPr>
        <w:t>101.4.8 Accessibility.</w:t>
      </w:r>
    </w:p>
    <w:p w14:paraId="5E9541AE" w14:textId="77777777" w:rsidR="0054771C" w:rsidRPr="0054771C" w:rsidRDefault="0054771C" w:rsidP="0054771C">
      <w:pPr>
        <w:jc w:val="both"/>
        <w:rPr>
          <w:rFonts w:ascii="Roboto" w:hAnsi="Roboto"/>
        </w:rPr>
      </w:pPr>
      <w:r w:rsidRPr="0054771C">
        <w:rPr>
          <w:rFonts w:ascii="Roboto" w:hAnsi="Roboto"/>
        </w:rPr>
        <w:t>For provisions related to accessibility, refer to the </w:t>
      </w:r>
      <w:r w:rsidRPr="0054771C">
        <w:rPr>
          <w:rFonts w:ascii="Roboto" w:hAnsi="Roboto"/>
          <w:i/>
          <w:iCs/>
        </w:rPr>
        <w:t>Florida Building Code, Accessibility</w:t>
      </w:r>
      <w:r w:rsidRPr="0054771C">
        <w:rPr>
          <w:rFonts w:ascii="Roboto" w:hAnsi="Roboto"/>
        </w:rPr>
        <w:t>.</w:t>
      </w:r>
    </w:p>
    <w:p w14:paraId="1F059391" w14:textId="77777777" w:rsidR="0054771C" w:rsidRPr="0054771C" w:rsidRDefault="0054771C" w:rsidP="0054771C">
      <w:pPr>
        <w:rPr>
          <w:rFonts w:ascii="Calibri" w:hAnsi="Calibri"/>
          <w14:ligatures w14:val="standardContextual"/>
        </w:rPr>
      </w:pPr>
    </w:p>
    <w:p w14:paraId="33FAF5F9" w14:textId="77777777" w:rsidR="0054771C" w:rsidRPr="0054771C" w:rsidRDefault="0054771C" w:rsidP="0054771C">
      <w:pPr>
        <w:widowControl/>
        <w:autoSpaceDE/>
        <w:autoSpaceDN/>
        <w:outlineLvl w:val="0"/>
        <w:rPr>
          <w:rFonts w:ascii="Roboto" w:hAnsi="Roboto" w:cs="Calibri"/>
          <w:b/>
          <w:bCs/>
          <w:kern w:val="36"/>
        </w:rPr>
      </w:pPr>
      <w:r w:rsidRPr="0054771C">
        <w:rPr>
          <w:rFonts w:ascii="Roboto" w:hAnsi="Roboto" w:cs="Calibri"/>
          <w:b/>
          <w:bCs/>
          <w:kern w:val="36"/>
        </w:rPr>
        <w:t>1009.1 Accessible means of egress required.</w:t>
      </w:r>
    </w:p>
    <w:p w14:paraId="3DBB1232" w14:textId="77777777" w:rsidR="0054771C" w:rsidRPr="0054771C" w:rsidRDefault="0054771C" w:rsidP="0054771C">
      <w:pPr>
        <w:widowControl/>
        <w:autoSpaceDE/>
        <w:autoSpaceDN/>
        <w:jc w:val="both"/>
        <w:rPr>
          <w:rFonts w:ascii="Roboto" w:eastAsiaTheme="minorHAnsi" w:hAnsi="Roboto" w:cs="Calibri"/>
        </w:rPr>
      </w:pPr>
      <w:r w:rsidRPr="0054771C">
        <w:rPr>
          <w:rFonts w:ascii="Roboto" w:eastAsiaTheme="minorHAnsi" w:hAnsi="Roboto" w:cs="Calibri"/>
          <w:i/>
          <w:iCs/>
        </w:rPr>
        <w:t>Accessible means of egress</w:t>
      </w:r>
      <w:r w:rsidRPr="0054771C">
        <w:rPr>
          <w:rFonts w:ascii="Roboto" w:eastAsiaTheme="minorHAnsi" w:hAnsi="Roboto" w:cs="Calibri"/>
        </w:rPr>
        <w:t> shall be provided in accordance with the applicable sections of the </w:t>
      </w:r>
      <w:r w:rsidRPr="0054771C">
        <w:rPr>
          <w:rFonts w:ascii="Roboto" w:eastAsiaTheme="minorHAnsi" w:hAnsi="Roboto" w:cs="Calibri"/>
          <w:i/>
          <w:iCs/>
        </w:rPr>
        <w:t>Florida Building Code, Accessibility</w:t>
      </w:r>
      <w:r w:rsidRPr="0054771C">
        <w:rPr>
          <w:rFonts w:ascii="Roboto" w:eastAsiaTheme="minorHAnsi" w:hAnsi="Roboto" w:cs="Calibri"/>
        </w:rPr>
        <w:t>.</w:t>
      </w:r>
    </w:p>
    <w:p w14:paraId="4CB5DF9B" w14:textId="77777777" w:rsidR="0054771C" w:rsidRPr="0054771C" w:rsidRDefault="0054771C" w:rsidP="0054771C">
      <w:pPr>
        <w:rPr>
          <w:rFonts w:ascii="Calibri" w:hAnsi="Calibri"/>
        </w:rPr>
      </w:pPr>
    </w:p>
    <w:p w14:paraId="7850162C" w14:textId="77777777" w:rsidR="0054771C" w:rsidRPr="0054771C" w:rsidRDefault="0054771C" w:rsidP="0054771C"/>
    <w:p w14:paraId="336F8029" w14:textId="77777777" w:rsidR="0054771C" w:rsidRPr="0054771C" w:rsidRDefault="0054771C" w:rsidP="0054771C">
      <w:r w:rsidRPr="0054771C">
        <w:t xml:space="preserve">Regarding the conflict when it comes to </w:t>
      </w:r>
      <w:r w:rsidRPr="0054771C">
        <w:rPr>
          <w:b/>
          <w:bCs/>
        </w:rPr>
        <w:t>turnstiles</w:t>
      </w:r>
      <w:r w:rsidRPr="0054771C">
        <w:t>:</w:t>
      </w:r>
    </w:p>
    <w:p w14:paraId="57946734" w14:textId="77777777" w:rsidR="0054771C" w:rsidRPr="0054771C" w:rsidRDefault="0054771C" w:rsidP="0054771C">
      <w:r w:rsidRPr="0054771C">
        <w:t xml:space="preserve">Per the FAC 404.2.1, turnstiles shall </w:t>
      </w:r>
      <w:r w:rsidRPr="0054771C">
        <w:rPr>
          <w:u w:val="single"/>
        </w:rPr>
        <w:t>not</w:t>
      </w:r>
      <w:r w:rsidRPr="0054771C">
        <w:t xml:space="preserve"> be part of an accessible route.</w:t>
      </w:r>
    </w:p>
    <w:p w14:paraId="73482C93" w14:textId="77777777" w:rsidR="0054771C" w:rsidRPr="0054771C" w:rsidRDefault="0054771C" w:rsidP="0054771C">
      <w:pPr>
        <w:widowControl/>
        <w:adjustRightInd w:val="0"/>
        <w:rPr>
          <w:rFonts w:eastAsiaTheme="minorHAnsi"/>
          <w:color w:val="FF0000"/>
        </w:rPr>
      </w:pPr>
    </w:p>
    <w:p w14:paraId="32E2F8D1" w14:textId="77777777" w:rsidR="0054771C" w:rsidRPr="0054771C" w:rsidRDefault="0054771C" w:rsidP="0054771C">
      <w:pPr>
        <w:rPr>
          <w:b/>
          <w:bCs/>
          <w:sz w:val="24"/>
          <w:szCs w:val="24"/>
        </w:rPr>
      </w:pPr>
      <w:r w:rsidRPr="0054771C">
        <w:rPr>
          <w:b/>
          <w:bCs/>
          <w:sz w:val="24"/>
          <w:szCs w:val="24"/>
        </w:rPr>
        <w:t>FBC Accessibility 404 DOORS, DOORWAYS, AND GATES</w:t>
      </w:r>
    </w:p>
    <w:p w14:paraId="487035AE" w14:textId="77777777" w:rsidR="0054771C" w:rsidRPr="0054771C" w:rsidRDefault="0054771C" w:rsidP="0054771C">
      <w:pPr>
        <w:rPr>
          <w:b/>
          <w:bCs/>
        </w:rPr>
      </w:pPr>
      <w:r w:rsidRPr="0054771C">
        <w:rPr>
          <w:b/>
          <w:bCs/>
        </w:rPr>
        <w:t>404.2.1 Revolving Doors, Gates, and Turnstiles.</w:t>
      </w:r>
    </w:p>
    <w:p w14:paraId="13C82031" w14:textId="77777777" w:rsidR="0054771C" w:rsidRPr="0054771C" w:rsidRDefault="0054771C" w:rsidP="0054771C">
      <w:r w:rsidRPr="0054771C">
        <w:t xml:space="preserve">Revolving doors, revolving gates, and turnstiles shall not be part of an </w:t>
      </w:r>
      <w:r w:rsidRPr="0054771C">
        <w:rPr>
          <w:i/>
          <w:iCs/>
        </w:rPr>
        <w:t xml:space="preserve">accessible </w:t>
      </w:r>
      <w:r w:rsidRPr="0054771C">
        <w:t>route.</w:t>
      </w:r>
    </w:p>
    <w:p w14:paraId="7F87B251" w14:textId="77777777" w:rsidR="0054771C" w:rsidRPr="0054771C" w:rsidRDefault="0054771C" w:rsidP="0054771C"/>
    <w:p w14:paraId="13D0C850" w14:textId="77777777" w:rsidR="0054771C" w:rsidRPr="0054771C" w:rsidRDefault="0054771C" w:rsidP="0054771C">
      <w:pPr>
        <w:rPr>
          <w:b/>
          <w:bCs/>
          <w:color w:val="FF0000"/>
        </w:rPr>
      </w:pPr>
      <w:r w:rsidRPr="0054771C">
        <w:rPr>
          <w:b/>
          <w:bCs/>
          <w:color w:val="FF0000"/>
        </w:rPr>
        <w:t>VS</w:t>
      </w:r>
    </w:p>
    <w:p w14:paraId="4BA15458" w14:textId="77777777" w:rsidR="0054771C" w:rsidRPr="0054771C" w:rsidRDefault="0054771C" w:rsidP="0054771C"/>
    <w:p w14:paraId="072D7F0D" w14:textId="77777777" w:rsidR="0054771C" w:rsidRPr="0054771C" w:rsidRDefault="0054771C" w:rsidP="0054771C">
      <w:pPr>
        <w:rPr>
          <w:b/>
          <w:bCs/>
          <w:sz w:val="24"/>
          <w:szCs w:val="24"/>
        </w:rPr>
      </w:pPr>
      <w:r w:rsidRPr="0054771C">
        <w:rPr>
          <w:b/>
          <w:bCs/>
          <w:sz w:val="24"/>
          <w:szCs w:val="24"/>
        </w:rPr>
        <w:t>FBC, Building, 7</w:t>
      </w:r>
      <w:r w:rsidRPr="0054771C">
        <w:rPr>
          <w:b/>
          <w:bCs/>
          <w:sz w:val="24"/>
          <w:szCs w:val="24"/>
          <w:vertAlign w:val="superscript"/>
        </w:rPr>
        <w:t>th</w:t>
      </w:r>
      <w:r w:rsidRPr="0054771C">
        <w:rPr>
          <w:b/>
          <w:bCs/>
          <w:sz w:val="24"/>
          <w:szCs w:val="24"/>
        </w:rPr>
        <w:t xml:space="preserve"> Edition 1010 DOORS, </w:t>
      </w:r>
      <w:proofErr w:type="gramStart"/>
      <w:r w:rsidRPr="0054771C">
        <w:rPr>
          <w:b/>
          <w:bCs/>
          <w:sz w:val="24"/>
          <w:szCs w:val="24"/>
        </w:rPr>
        <w:t>GATES</w:t>
      </w:r>
      <w:proofErr w:type="gramEnd"/>
      <w:r w:rsidRPr="0054771C">
        <w:rPr>
          <w:b/>
          <w:bCs/>
          <w:sz w:val="24"/>
          <w:szCs w:val="24"/>
        </w:rPr>
        <w:t xml:space="preserve"> AND TURNSTILES</w:t>
      </w:r>
    </w:p>
    <w:p w14:paraId="776FC958" w14:textId="77777777" w:rsidR="0054771C" w:rsidRPr="0054771C" w:rsidRDefault="0054771C" w:rsidP="0054771C">
      <w:pPr>
        <w:rPr>
          <w:b/>
          <w:bCs/>
        </w:rPr>
      </w:pPr>
      <w:r w:rsidRPr="0054771C">
        <w:rPr>
          <w:b/>
          <w:bCs/>
        </w:rPr>
        <w:t>1010.3.1.1 Clear width.</w:t>
      </w:r>
    </w:p>
    <w:p w14:paraId="168C3AF2" w14:textId="77777777" w:rsidR="0054771C" w:rsidRPr="0054771C" w:rsidRDefault="0054771C" w:rsidP="0054771C">
      <w:r w:rsidRPr="0054771C">
        <w:t xml:space="preserve">Where located as part of an </w:t>
      </w:r>
      <w:r w:rsidRPr="0054771C">
        <w:rPr>
          <w:i/>
          <w:iCs/>
        </w:rPr>
        <w:t>accessible route</w:t>
      </w:r>
      <w:r w:rsidRPr="0054771C">
        <w:t>, turnstiles shall have not less than 36 inches clear at and below a height of 34 inches, not less than 32 inches clear width between 34 inches and 80 inches and shall consist of a mechanism other than a revolving device.</w:t>
      </w:r>
    </w:p>
    <w:p w14:paraId="1CBE00B3" w14:textId="77777777" w:rsidR="0054771C" w:rsidRPr="0054771C" w:rsidRDefault="0054771C" w:rsidP="0054771C"/>
    <w:p w14:paraId="402DA201" w14:textId="77777777" w:rsidR="0054771C" w:rsidRPr="0054771C" w:rsidRDefault="0054771C" w:rsidP="0054771C">
      <w:pPr>
        <w:widowControl/>
        <w:adjustRightInd w:val="0"/>
        <w:rPr>
          <w:rFonts w:eastAsiaTheme="minorHAnsi"/>
          <w:b/>
          <w:bCs/>
        </w:rPr>
      </w:pPr>
      <w:r w:rsidRPr="0054771C">
        <w:rPr>
          <w:rFonts w:eastAsiaTheme="minorHAnsi"/>
          <w:b/>
          <w:bCs/>
        </w:rPr>
        <w:t>8</w:t>
      </w:r>
      <w:r w:rsidRPr="0054771C">
        <w:rPr>
          <w:rFonts w:eastAsiaTheme="minorHAnsi"/>
          <w:b/>
          <w:bCs/>
          <w:vertAlign w:val="superscript"/>
        </w:rPr>
        <w:t>th</w:t>
      </w:r>
      <w:r w:rsidRPr="0054771C">
        <w:rPr>
          <w:rFonts w:eastAsiaTheme="minorHAnsi"/>
          <w:b/>
          <w:bCs/>
        </w:rPr>
        <w:t xml:space="preserve"> Edition (2023) FBC – Building </w:t>
      </w:r>
    </w:p>
    <w:p w14:paraId="31ACC513" w14:textId="77777777" w:rsidR="0054771C" w:rsidRPr="0054771C" w:rsidRDefault="0054771C" w:rsidP="0054771C">
      <w:pPr>
        <w:widowControl/>
        <w:adjustRightInd w:val="0"/>
        <w:rPr>
          <w:rFonts w:eastAsiaTheme="minorHAnsi"/>
          <w:color w:val="FF0000"/>
          <w:sz w:val="24"/>
          <w:szCs w:val="24"/>
        </w:rPr>
      </w:pPr>
      <w:r w:rsidRPr="0054771C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1010.5.1.1 Clear width. </w:t>
      </w:r>
      <w:r w:rsidRPr="0054771C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 xml:space="preserve">Where located as part of an </w:t>
      </w:r>
      <w:r w:rsidRPr="0054771C">
        <w:rPr>
          <w:rFonts w:ascii="TimesNewRoman,Italic" w:eastAsiaTheme="minorHAnsi" w:hAnsi="TimesNewRoman,Italic" w:cs="TimesNewRoman,Italic"/>
          <w:i/>
          <w:iCs/>
          <w:sz w:val="24"/>
          <w:szCs w:val="24"/>
          <w14:ligatures w14:val="standardContextual"/>
        </w:rPr>
        <w:t>accessible route</w:t>
      </w:r>
      <w:r w:rsidRPr="0054771C">
        <w:rPr>
          <w:rFonts w:ascii="TimesNewRoman" w:eastAsiaTheme="minorHAnsi" w:hAnsi="TimesNewRoman" w:cs="TimesNewRoman"/>
          <w:sz w:val="24"/>
          <w:szCs w:val="24"/>
          <w14:ligatures w14:val="standardContextual"/>
        </w:rPr>
        <w:t>, turnstiles shall have not less than 36 inches (914 mm) clear at and below a height of 34 inches (864 mm), not less than 32 inches (813 mm) clear width between 34 inches (864 mm) and 80 inches (2032 mm) and shall consist of a mechanism other than a revolving device.</w:t>
      </w:r>
    </w:p>
    <w:p w14:paraId="4C113308" w14:textId="77777777" w:rsidR="0054771C" w:rsidRPr="0054771C" w:rsidRDefault="0054771C" w:rsidP="0054771C"/>
    <w:p w14:paraId="4ADF9E89" w14:textId="77777777" w:rsidR="0054771C" w:rsidRPr="0054771C" w:rsidRDefault="0054771C" w:rsidP="0054771C">
      <w:pPr>
        <w:rPr>
          <w:color w:val="FF0000"/>
        </w:rPr>
      </w:pPr>
      <w:r w:rsidRPr="0054771C">
        <w:rPr>
          <w:color w:val="FF0000"/>
        </w:rPr>
        <w:t xml:space="preserve">Fix – </w:t>
      </w:r>
    </w:p>
    <w:p w14:paraId="7FD1C56F" w14:textId="77777777" w:rsidR="0054771C" w:rsidRPr="0054771C" w:rsidRDefault="0054771C" w:rsidP="0054771C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</w:pPr>
    </w:p>
    <w:p w14:paraId="2D902118" w14:textId="77777777" w:rsidR="0054771C" w:rsidRPr="0054771C" w:rsidRDefault="0054771C" w:rsidP="0054771C">
      <w:pPr>
        <w:widowControl/>
        <w:adjustRightInd w:val="0"/>
        <w:rPr>
          <w:rFonts w:eastAsiaTheme="minorHAnsi"/>
          <w:strike/>
          <w:color w:val="FF0000"/>
          <w:sz w:val="24"/>
          <w:szCs w:val="24"/>
        </w:rPr>
      </w:pPr>
      <w:r w:rsidRPr="0054771C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1010.5.1.1 Clear width. </w:t>
      </w:r>
      <w:r w:rsidRPr="0054771C">
        <w:rPr>
          <w:rFonts w:ascii="TimesNewRoman,Bold" w:eastAsiaTheme="minorHAnsi" w:hAnsi="TimesNewRoman,Bold" w:cs="TimesNewRoman,Bold"/>
          <w:sz w:val="24"/>
          <w:szCs w:val="24"/>
          <w:u w:val="single"/>
          <w14:ligatures w14:val="standardContextual"/>
        </w:rPr>
        <w:t>Reserved</w:t>
      </w:r>
      <w:r w:rsidRPr="0054771C">
        <w:rPr>
          <w:rFonts w:ascii="TimesNewRoman,Bold" w:eastAsiaTheme="minorHAnsi" w:hAnsi="TimesNewRoman,Bold" w:cs="TimesNewRoman,Bold"/>
          <w:b/>
          <w:bCs/>
          <w:sz w:val="24"/>
          <w:szCs w:val="24"/>
          <w14:ligatures w14:val="standardContextual"/>
        </w:rPr>
        <w:t xml:space="preserve"> </w:t>
      </w:r>
      <w:r w:rsidRPr="0054771C">
        <w:rPr>
          <w:rFonts w:ascii="TimesNewRoman" w:eastAsiaTheme="minorHAnsi" w:hAnsi="TimesNewRoman" w:cs="TimesNewRoman"/>
          <w:strike/>
          <w:sz w:val="24"/>
          <w:szCs w:val="24"/>
          <w14:ligatures w14:val="standardContextual"/>
        </w:rPr>
        <w:t xml:space="preserve">Where located as part of an </w:t>
      </w:r>
      <w:r w:rsidRPr="0054771C">
        <w:rPr>
          <w:rFonts w:ascii="TimesNewRoman,Italic" w:eastAsiaTheme="minorHAnsi" w:hAnsi="TimesNewRoman,Italic" w:cs="TimesNewRoman,Italic"/>
          <w:i/>
          <w:iCs/>
          <w:strike/>
          <w:sz w:val="24"/>
          <w:szCs w:val="24"/>
          <w14:ligatures w14:val="standardContextual"/>
        </w:rPr>
        <w:t>accessible route</w:t>
      </w:r>
      <w:r w:rsidRPr="0054771C">
        <w:rPr>
          <w:rFonts w:ascii="TimesNewRoman" w:eastAsiaTheme="minorHAnsi" w:hAnsi="TimesNewRoman" w:cs="TimesNewRoman"/>
          <w:strike/>
          <w:sz w:val="24"/>
          <w:szCs w:val="24"/>
          <w14:ligatures w14:val="standardContextual"/>
        </w:rPr>
        <w:t>, turnstiles shall have not less than 36 inches (914 mm) clear at and below a height of 34 inches (864 mm), not less than 32 inches (813 mm) clear width between 34 inches (864 mm) and 80 inches (2032 mm) and shall consist of a mechanism other than a revolving device.</w:t>
      </w:r>
    </w:p>
    <w:p w14:paraId="0D52739B" w14:textId="77777777" w:rsidR="0054771C" w:rsidRPr="0054771C" w:rsidRDefault="0054771C" w:rsidP="0054771C"/>
    <w:p w14:paraId="2F29CBA4" w14:textId="77777777" w:rsidR="0054771C" w:rsidRPr="0015089A" w:rsidRDefault="0054771C" w:rsidP="0054771C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15089A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TAC Recommendation</w:t>
      </w:r>
      <w:r w:rsidRPr="0015089A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:</w:t>
      </w:r>
    </w:p>
    <w:p w14:paraId="71760D3F" w14:textId="77777777" w:rsidR="0054771C" w:rsidRPr="0015089A" w:rsidRDefault="0054771C" w:rsidP="0054771C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58E70C57" w14:textId="77777777" w:rsidR="0054771C" w:rsidRPr="0015089A" w:rsidRDefault="0054771C" w:rsidP="0054771C">
      <w:pPr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</w:pPr>
      <w:r w:rsidRPr="0015089A">
        <w:rPr>
          <w:rFonts w:ascii="TimesNewRoman" w:eastAsiaTheme="minorHAnsi" w:hAnsi="TimesNewRoman" w:cs="TimesNewRoman"/>
          <w:b/>
          <w:bCs/>
          <w:sz w:val="20"/>
          <w:szCs w:val="20"/>
          <w14:ligatures w14:val="standardContextual"/>
        </w:rPr>
        <w:t>Commission Action:</w:t>
      </w:r>
    </w:p>
    <w:p w14:paraId="32D15985" w14:textId="77777777" w:rsidR="0054771C" w:rsidRPr="0054771C" w:rsidRDefault="0054771C" w:rsidP="0054771C"/>
    <w:p w14:paraId="24641D15" w14:textId="77777777" w:rsidR="0054771C" w:rsidRPr="0054771C" w:rsidRDefault="0054771C" w:rsidP="0054771C"/>
    <w:p w14:paraId="7247DE94" w14:textId="77777777" w:rsidR="00A6611B" w:rsidRDefault="00A6611B" w:rsidP="00A6611B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8th Edition (2023) Florida Building Code, Plumbing</w:t>
      </w:r>
    </w:p>
    <w:p w14:paraId="4A32DA43" w14:textId="77777777" w:rsidR="00A6611B" w:rsidRDefault="00A6611B" w:rsidP="00A6611B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14:paraId="1BEC17FB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>
        <w:rPr>
          <w:rFonts w:ascii="Arial,Bold" w:eastAsiaTheme="minorHAnsi" w:hAnsi="Arial,Bold" w:cs="Arial,Bold"/>
          <w:b/>
          <w:bCs/>
          <w:sz w:val="24"/>
          <w:szCs w:val="24"/>
        </w:rPr>
        <w:t>CHAPTER 4 FIXTURES, FAUCETS AND FIXTURE FITTINGS</w:t>
      </w:r>
    </w:p>
    <w:p w14:paraId="4B60B147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14:paraId="122F1F5E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34D31D1C" w14:textId="3301479E" w:rsidR="00A6611B" w:rsidRDefault="00A6611B" w:rsidP="00A6611B">
      <w:pPr>
        <w:widowControl/>
        <w:adjustRightInd w:val="0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 xml:space="preserve">P-FBC-P – Ch. 4 – Errata </w:t>
      </w:r>
      <w:r w:rsidR="0015089A">
        <w:rPr>
          <w:rFonts w:eastAsiaTheme="minorHAnsi"/>
          <w:color w:val="FF0000"/>
        </w:rPr>
        <w:t>#</w:t>
      </w:r>
      <w:r w:rsidR="00B6245F">
        <w:rPr>
          <w:rFonts w:eastAsiaTheme="minorHAnsi"/>
          <w:color w:val="FF0000"/>
        </w:rPr>
        <w:t>1</w:t>
      </w:r>
    </w:p>
    <w:p w14:paraId="50BA67D1" w14:textId="77777777" w:rsidR="00A6611B" w:rsidRDefault="00A6611B" w:rsidP="00A6611B">
      <w:pPr>
        <w:widowControl/>
        <w:adjustRightInd w:val="0"/>
        <w:rPr>
          <w:rFonts w:eastAsiaTheme="minorHAnsi"/>
          <w:color w:val="FF0000"/>
        </w:rPr>
      </w:pPr>
    </w:p>
    <w:p w14:paraId="6114D959" w14:textId="1A8AA0EB" w:rsidR="00A6611B" w:rsidRPr="0015089A" w:rsidRDefault="00A6611B" w:rsidP="00A6611B">
      <w:pPr>
        <w:widowControl/>
        <w:adjustRightInd w:val="0"/>
        <w:rPr>
          <w:rFonts w:eastAsiaTheme="minorHAnsi"/>
          <w:b/>
          <w:bCs/>
        </w:rPr>
      </w:pPr>
      <w:r w:rsidRPr="0015089A">
        <w:rPr>
          <w:rFonts w:eastAsiaTheme="minorHAnsi"/>
          <w:b/>
          <w:bCs/>
        </w:rPr>
        <w:t xml:space="preserve">Staff </w:t>
      </w:r>
    </w:p>
    <w:p w14:paraId="22108B59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6FBE9671" w14:textId="77777777" w:rsidR="00A6611B" w:rsidRPr="0080091E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 w:rsidRPr="0080091E">
        <w:rPr>
          <w:rFonts w:ascii="TimesNewRoman,Bold" w:eastAsiaTheme="minorHAnsi" w:hAnsi="TimesNewRoman,Bold" w:cs="TimesNewRoman,Bold"/>
          <w:sz w:val="24"/>
          <w:szCs w:val="24"/>
        </w:rPr>
        <w:t>Correlation with the Florida Accessibility Code</w:t>
      </w:r>
      <w:r w:rsidRPr="0080091E">
        <w:rPr>
          <w:rFonts w:ascii="TimesNewRoman,Bold" w:eastAsiaTheme="minorHAnsi" w:hAnsi="TimesNewRoman,Bold" w:cs="TimesNewRoman,Bold"/>
          <w:b/>
          <w:bCs/>
          <w:sz w:val="24"/>
          <w:szCs w:val="24"/>
        </w:rPr>
        <w:t xml:space="preserve"> -</w:t>
      </w:r>
    </w:p>
    <w:p w14:paraId="7D9E6755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40EF1281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</w:rPr>
        <w:t>403.1.1 Fixture calculations.</w:t>
      </w:r>
    </w:p>
    <w:p w14:paraId="2EA5A49F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</w:p>
    <w:p w14:paraId="23A945B9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</w:rPr>
        <w:t>Exceptions:</w:t>
      </w:r>
    </w:p>
    <w:p w14:paraId="2FE49B81" w14:textId="77777777" w:rsidR="00A6611B" w:rsidRDefault="00A6611B" w:rsidP="00A6611B">
      <w:pPr>
        <w:widowControl/>
        <w:adjustRightInd w:val="0"/>
        <w:rPr>
          <w:rFonts w:ascii="TimesNewRoman,Bold" w:eastAsiaTheme="minorHAnsi" w:hAnsi="TimesNewRoman,Bold" w:cs="TimesNewRoman,Bold"/>
          <w:b/>
          <w:bCs/>
          <w:sz w:val="20"/>
          <w:szCs w:val="20"/>
        </w:rPr>
      </w:pPr>
      <w:r>
        <w:rPr>
          <w:rFonts w:ascii="TimesNewRoman,Bold" w:eastAsiaTheme="minorHAnsi" w:hAnsi="TimesNewRoman,Bold" w:cs="TimesNewRoman,Bold"/>
          <w:b/>
          <w:bCs/>
          <w:sz w:val="20"/>
          <w:szCs w:val="20"/>
        </w:rPr>
        <w:t>---</w:t>
      </w:r>
    </w:p>
    <w:p w14:paraId="702E80C6" w14:textId="77777777" w:rsidR="00A6611B" w:rsidRDefault="00A6611B" w:rsidP="00A6611B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 xml:space="preserve">2. Where multi-user facilities are designed to serve all genders, the minimum fixture count shall be calculated 100 percent, based on total occupant load. In such multi-user user facilities, each fixture type shall be in accordance with </w:t>
      </w:r>
      <w:r>
        <w:rPr>
          <w:rFonts w:ascii="TimesNewRoman" w:eastAsiaTheme="minorHAnsi" w:hAnsi="TimesNewRoman" w:cs="TimesNewRoman"/>
          <w:strike/>
          <w:sz w:val="24"/>
          <w:szCs w:val="24"/>
        </w:rPr>
        <w:t>ICC A117.1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,Italic" w:eastAsiaTheme="minorHAnsi" w:hAnsi="TimesNewRoman,Italic" w:cs="TimesNewRoman,Italic"/>
          <w:i/>
          <w:iCs/>
          <w:sz w:val="24"/>
          <w:szCs w:val="24"/>
          <w:u w:val="single"/>
        </w:rPr>
        <w:t>Florida Building Code, Accessibility</w:t>
      </w:r>
      <w:r>
        <w:rPr>
          <w:rFonts w:ascii="TimesNewRoman" w:eastAsiaTheme="minorHAnsi" w:hAnsi="TimesNewRoman" w:cs="TimesNewRoman"/>
          <w:sz w:val="24"/>
          <w:szCs w:val="24"/>
        </w:rPr>
        <w:t>,</w:t>
      </w:r>
      <w:r>
        <w:rPr>
          <w:rFonts w:ascii="TimesNewRoman" w:eastAsiaTheme="minorHAnsi" w:hAnsi="TimesNewRoman" w:cs="TimesNewRoman"/>
          <w:sz w:val="20"/>
          <w:szCs w:val="20"/>
        </w:rPr>
        <w:t xml:space="preserve"> </w:t>
      </w:r>
      <w:r>
        <w:rPr>
          <w:rFonts w:ascii="TimesNewRoman" w:eastAsiaTheme="minorHAnsi" w:hAnsi="TimesNewRoman" w:cs="TimesNewRoman"/>
          <w:sz w:val="24"/>
          <w:szCs w:val="24"/>
        </w:rPr>
        <w:t xml:space="preserve">and each urinal that is provided shall </w:t>
      </w:r>
      <w:proofErr w:type="gramStart"/>
      <w:r>
        <w:rPr>
          <w:rFonts w:ascii="TimesNewRoman" w:eastAsiaTheme="minorHAnsi" w:hAnsi="TimesNewRoman" w:cs="TimesNewRoman"/>
          <w:sz w:val="24"/>
          <w:szCs w:val="24"/>
        </w:rPr>
        <w:t>be located in</w:t>
      </w:r>
      <w:proofErr w:type="gramEnd"/>
      <w:r>
        <w:rPr>
          <w:rFonts w:ascii="TimesNewRoman" w:eastAsiaTheme="minorHAnsi" w:hAnsi="TimesNewRoman" w:cs="TimesNewRoman"/>
          <w:sz w:val="24"/>
          <w:szCs w:val="24"/>
        </w:rPr>
        <w:t xml:space="preserve"> a stall.</w:t>
      </w:r>
    </w:p>
    <w:p w14:paraId="430F0EC3" w14:textId="77777777" w:rsidR="00A6611B" w:rsidRDefault="00A6611B" w:rsidP="00A6611B">
      <w:pPr>
        <w:widowControl/>
        <w:adjustRightInd w:val="0"/>
        <w:rPr>
          <w:rFonts w:ascii="TimesNewRoman" w:eastAsiaTheme="minorHAnsi" w:hAnsi="TimesNewRoman" w:cs="TimesNewRoman"/>
          <w:sz w:val="24"/>
          <w:szCs w:val="24"/>
        </w:rPr>
      </w:pPr>
    </w:p>
    <w:p w14:paraId="33B618CC" w14:textId="77777777" w:rsidR="00A6611B" w:rsidRPr="0015089A" w:rsidRDefault="00A6611B" w:rsidP="00A6611B">
      <w:pPr>
        <w:rPr>
          <w:rFonts w:ascii="TimesNewRoman" w:eastAsiaTheme="minorHAnsi" w:hAnsi="TimesNewRoman" w:cs="TimesNewRoman"/>
          <w:sz w:val="20"/>
          <w:szCs w:val="20"/>
        </w:rPr>
      </w:pPr>
      <w:r w:rsidRPr="0015089A">
        <w:rPr>
          <w:rFonts w:ascii="TimesNewRoman" w:eastAsiaTheme="minorHAnsi" w:hAnsi="TimesNewRoman" w:cs="TimesNewRoman"/>
          <w:sz w:val="20"/>
          <w:szCs w:val="20"/>
        </w:rPr>
        <w:t>TAC Recommendation:</w:t>
      </w:r>
    </w:p>
    <w:p w14:paraId="6BE2084C" w14:textId="77777777" w:rsidR="00A6611B" w:rsidRPr="0015089A" w:rsidRDefault="00A6611B" w:rsidP="00A6611B">
      <w:pPr>
        <w:rPr>
          <w:rFonts w:ascii="TimesNewRoman" w:eastAsiaTheme="minorHAnsi" w:hAnsi="TimesNewRoman" w:cs="TimesNewRoman"/>
          <w:sz w:val="20"/>
          <w:szCs w:val="20"/>
        </w:rPr>
      </w:pPr>
    </w:p>
    <w:p w14:paraId="596542AB" w14:textId="77777777" w:rsidR="00A6611B" w:rsidRPr="0015089A" w:rsidRDefault="00A6611B" w:rsidP="00A6611B">
      <w:pPr>
        <w:rPr>
          <w:rFonts w:ascii="TimesNewRoman" w:eastAsiaTheme="minorHAnsi" w:hAnsi="TimesNewRoman" w:cs="TimesNewRoman"/>
          <w:sz w:val="20"/>
          <w:szCs w:val="20"/>
        </w:rPr>
      </w:pPr>
      <w:r w:rsidRPr="0015089A">
        <w:rPr>
          <w:rFonts w:ascii="TimesNewRoman" w:eastAsiaTheme="minorHAnsi" w:hAnsi="TimesNewRoman" w:cs="TimesNewRoman"/>
          <w:sz w:val="20"/>
          <w:szCs w:val="20"/>
        </w:rPr>
        <w:t>Commission Action:</w:t>
      </w:r>
    </w:p>
    <w:p w14:paraId="1CBB8C17" w14:textId="77777777" w:rsidR="00A6611B" w:rsidRPr="0015089A" w:rsidRDefault="00A6611B" w:rsidP="00A6611B">
      <w:pPr>
        <w:widowControl/>
        <w:adjustRightInd w:val="0"/>
        <w:rPr>
          <w:sz w:val="20"/>
          <w:szCs w:val="20"/>
        </w:rPr>
      </w:pPr>
    </w:p>
    <w:p w14:paraId="544D3A17" w14:textId="77777777" w:rsidR="0054771C" w:rsidRDefault="0054771C"/>
    <w:sectPr w:rsidR="00547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FA07" w14:textId="77777777" w:rsidR="000D1373" w:rsidRDefault="000D1373" w:rsidP="000D1373">
      <w:r>
        <w:separator/>
      </w:r>
    </w:p>
  </w:endnote>
  <w:endnote w:type="continuationSeparator" w:id="0">
    <w:p w14:paraId="5A2F689C" w14:textId="77777777" w:rsidR="000D1373" w:rsidRDefault="000D1373" w:rsidP="000D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87C1" w14:textId="77777777" w:rsidR="000D1373" w:rsidRDefault="000D1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90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84D54" w14:textId="7763998F" w:rsidR="000D1373" w:rsidRDefault="000D13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05DF8" w14:textId="77777777" w:rsidR="000D1373" w:rsidRDefault="000D1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A1A7" w14:textId="77777777" w:rsidR="000D1373" w:rsidRDefault="000D1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AB0A" w14:textId="77777777" w:rsidR="000D1373" w:rsidRDefault="000D1373" w:rsidP="000D1373">
      <w:r>
        <w:separator/>
      </w:r>
    </w:p>
  </w:footnote>
  <w:footnote w:type="continuationSeparator" w:id="0">
    <w:p w14:paraId="147D143C" w14:textId="77777777" w:rsidR="000D1373" w:rsidRDefault="000D1373" w:rsidP="000D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A15D" w14:textId="77777777" w:rsidR="000D1373" w:rsidRDefault="000D1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72D0" w14:textId="77777777" w:rsidR="000D1373" w:rsidRDefault="000D1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75F6" w14:textId="77777777" w:rsidR="000D1373" w:rsidRDefault="000D1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1C"/>
    <w:rsid w:val="000D1373"/>
    <w:rsid w:val="0015089A"/>
    <w:rsid w:val="003E4A5F"/>
    <w:rsid w:val="0054771C"/>
    <w:rsid w:val="005C7C34"/>
    <w:rsid w:val="005E01E8"/>
    <w:rsid w:val="00634BB0"/>
    <w:rsid w:val="0080091E"/>
    <w:rsid w:val="008D6E82"/>
    <w:rsid w:val="00A6611B"/>
    <w:rsid w:val="00B6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32F3"/>
  <w15:chartTrackingRefBased/>
  <w15:docId w15:val="{B9515977-5B77-4875-A279-3102ACC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7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37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1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37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6</cp:revision>
  <dcterms:created xsi:type="dcterms:W3CDTF">2023-11-05T22:45:00Z</dcterms:created>
  <dcterms:modified xsi:type="dcterms:W3CDTF">2023-11-14T00:47:00Z</dcterms:modified>
</cp:coreProperties>
</file>