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095F" w14:textId="280F6B73" w:rsidR="00590739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FBC Supplement – Annual Technical Amendment</w:t>
      </w:r>
    </w:p>
    <w:p w14:paraId="34FDE521" w14:textId="77777777" w:rsidR="00590739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</w:p>
    <w:p w14:paraId="12C1FF2A" w14:textId="798C6D89" w:rsidR="00590739" w:rsidRPr="00F37CAD" w:rsidRDefault="00590739" w:rsidP="00590739">
      <w:pPr>
        <w:widowControl/>
        <w:autoSpaceDE/>
        <w:rPr>
          <w:rFonts w:eastAsia="Calibri"/>
          <w:b/>
          <w:bCs/>
          <w:sz w:val="28"/>
          <w:szCs w:val="28"/>
        </w:rPr>
      </w:pPr>
      <w:r w:rsidRPr="00F37CAD">
        <w:rPr>
          <w:rFonts w:eastAsia="Calibri"/>
          <w:b/>
          <w:bCs/>
          <w:sz w:val="28"/>
          <w:szCs w:val="28"/>
        </w:rPr>
        <w:t>8th Edition (2023) Florida Building Code</w:t>
      </w:r>
      <w:r w:rsidR="00F647A5">
        <w:rPr>
          <w:rFonts w:eastAsia="Calibri"/>
          <w:b/>
          <w:bCs/>
          <w:sz w:val="28"/>
          <w:szCs w:val="28"/>
        </w:rPr>
        <w:t xml:space="preserve"> (FBC)</w:t>
      </w:r>
      <w:r w:rsidRPr="00F37CAD">
        <w:rPr>
          <w:rFonts w:eastAsia="Calibri"/>
          <w:b/>
          <w:bCs/>
          <w:sz w:val="28"/>
          <w:szCs w:val="28"/>
        </w:rPr>
        <w:t>, Building</w:t>
      </w:r>
      <w:r>
        <w:rPr>
          <w:rFonts w:eastAsia="Calibri"/>
          <w:b/>
          <w:bCs/>
          <w:sz w:val="28"/>
          <w:szCs w:val="28"/>
        </w:rPr>
        <w:t>/Residential</w:t>
      </w:r>
    </w:p>
    <w:p w14:paraId="2BA09714" w14:textId="77777777" w:rsidR="00932664" w:rsidRDefault="00932664"/>
    <w:p w14:paraId="7C0A72A7" w14:textId="23D2803B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 w:rsidR="00F647A5">
        <w:rPr>
          <w:rFonts w:eastAsiaTheme="minorHAnsi"/>
          <w:b/>
          <w:bCs/>
          <w:sz w:val="24"/>
          <w:szCs w:val="24"/>
        </w:rPr>
        <w:t xml:space="preserve"> – FBC, Building </w:t>
      </w:r>
    </w:p>
    <w:p w14:paraId="37DD628F" w14:textId="77777777" w:rsidR="00590739" w:rsidRPr="00CB5BBD" w:rsidRDefault="00590739" w:rsidP="00590739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</w:p>
    <w:p w14:paraId="431AE563" w14:textId="77777777" w:rsidR="00590739" w:rsidRDefault="00590739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  <w:r w:rsidRPr="009D4DB5">
        <w:rPr>
          <w:rFonts w:eastAsiaTheme="minorHAnsi"/>
          <w:sz w:val="24"/>
          <w:szCs w:val="24"/>
          <w14:ligatures w14:val="standardContextual"/>
        </w:rPr>
        <w:t xml:space="preserve">Revise definition for “Wind-Borne Debris Region” as follows: </w:t>
      </w:r>
    </w:p>
    <w:p w14:paraId="14D40434" w14:textId="77777777" w:rsidR="005404FA" w:rsidRDefault="005404FA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5A77E8A3" w14:textId="6D5A16CC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located:</w:t>
      </w:r>
    </w:p>
    <w:p w14:paraId="3561EF20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7AFD3D0E" w14:textId="77777777" w:rsidR="005404FA" w:rsidRPr="00F647A5" w:rsidRDefault="005404FA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high-water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greater; or</w:t>
      </w:r>
    </w:p>
    <w:p w14:paraId="14078551" w14:textId="601C345A" w:rsidR="005404FA" w:rsidRPr="00F647A5" w:rsidRDefault="005404FA" w:rsidP="005404FA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greater.</w:t>
      </w:r>
    </w:p>
    <w:p w14:paraId="134AAE12" w14:textId="77777777" w:rsidR="005404FA" w:rsidRPr="00F647A5" w:rsidRDefault="005404FA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565A4F2A" w14:textId="282FA1FE" w:rsidR="005404FA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For Risk Category II buildings and other structures and Risk Category III buildings and other structures, except health care facilities, the wind-borne debris region shall be based on Figure 1609.3(1).  For Risk Category III health care facilities, the wind-borne debris region shall be based on Fig-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ure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1609.3(2). For Risk Category IV buildings and other structures, the wind-borne debris region shall be based on Figure 1609.3(3).</w:t>
      </w:r>
    </w:p>
    <w:p w14:paraId="5C673091" w14:textId="77777777" w:rsidR="00F647A5" w:rsidRDefault="00F647A5" w:rsidP="00590739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65D5010C" w14:textId="1E6CEB9F" w:rsidR="00F647A5" w:rsidRPr="00CB5BBD" w:rsidRDefault="00F647A5" w:rsidP="00F647A5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</w:t>
      </w:r>
      <w:r>
        <w:rPr>
          <w:rFonts w:eastAsiaTheme="minorHAnsi"/>
          <w:b/>
          <w:bCs/>
          <w:sz w:val="24"/>
          <w:szCs w:val="24"/>
        </w:rPr>
        <w:t xml:space="preserve">Residential </w:t>
      </w:r>
      <w:r>
        <w:rPr>
          <w:rFonts w:eastAsiaTheme="minorHAnsi"/>
          <w:b/>
          <w:bCs/>
          <w:sz w:val="24"/>
          <w:szCs w:val="24"/>
        </w:rPr>
        <w:t xml:space="preserve"> </w:t>
      </w:r>
    </w:p>
    <w:p w14:paraId="318F6CEA" w14:textId="77777777" w:rsid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25CF1A19" w14:textId="5D8E2788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WINDBORNE DEBRIS REGION. Areas within hurricane-prone regions located in accordance with one of the following:</w:t>
      </w:r>
    </w:p>
    <w:p w14:paraId="33E073F7" w14:textId="77777777" w:rsidR="00F647A5" w:rsidRPr="00F647A5" w:rsidRDefault="00F647A5" w:rsidP="00590739">
      <w:pPr>
        <w:widowControl/>
        <w:adjustRightInd w:val="0"/>
        <w:rPr>
          <w:rFonts w:eastAsiaTheme="minorHAnsi"/>
          <w:strike/>
          <w:sz w:val="24"/>
          <w:szCs w:val="24"/>
          <w14:ligatures w14:val="standardContextual"/>
        </w:rPr>
      </w:pPr>
    </w:p>
    <w:p w14:paraId="498FC468" w14:textId="77777777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1.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Within 1 mile (1.61 km) of the mean </w:t>
      </w:r>
      <w:proofErr w:type="gramStart"/>
      <w:r w:rsidRPr="00F647A5">
        <w:rPr>
          <w:rFonts w:eastAsiaTheme="minorHAnsi"/>
          <w:strike/>
          <w:sz w:val="24"/>
          <w:szCs w:val="24"/>
          <w14:ligatures w14:val="standardContextual"/>
        </w:rPr>
        <w:t>high water</w:t>
      </w:r>
      <w:proofErr w:type="gramEnd"/>
      <w:r w:rsidRPr="00F647A5">
        <w:rPr>
          <w:rFonts w:eastAsiaTheme="minorHAnsi"/>
          <w:strike/>
          <w:sz w:val="24"/>
          <w:szCs w:val="24"/>
          <w14:ligatures w14:val="standardContextual"/>
        </w:rPr>
        <w:t xml:space="preserve"> line where an Exposure D condition exists upwind at the waterline and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130 mph (58 m/s) or greater.</w:t>
      </w:r>
    </w:p>
    <w:p w14:paraId="1D86055D" w14:textId="2B6E9EAD" w:rsidR="00F647A5" w:rsidRPr="00F647A5" w:rsidRDefault="00F647A5" w:rsidP="00F647A5">
      <w:pPr>
        <w:widowControl/>
        <w:adjustRightInd w:val="0"/>
        <w:ind w:left="720" w:hanging="720"/>
        <w:rPr>
          <w:rFonts w:eastAsiaTheme="minorHAnsi"/>
          <w:strike/>
          <w:sz w:val="24"/>
          <w:szCs w:val="24"/>
          <w14:ligatures w14:val="standardContextual"/>
        </w:rPr>
      </w:pPr>
      <w:r w:rsidRPr="00F647A5">
        <w:rPr>
          <w:rFonts w:eastAsiaTheme="minorHAnsi"/>
          <w:strike/>
          <w:sz w:val="24"/>
          <w:szCs w:val="24"/>
          <w14:ligatures w14:val="standardContextual"/>
        </w:rPr>
        <w:t>2.</w:t>
      </w:r>
      <w:r w:rsidRPr="00F647A5">
        <w:rPr>
          <w:rFonts w:eastAsiaTheme="minorHAnsi"/>
          <w:strike/>
          <w:sz w:val="24"/>
          <w:szCs w:val="24"/>
          <w14:ligatures w14:val="standardContextual"/>
        </w:rPr>
        <w:tab/>
        <w:t xml:space="preserve">In areas where the ultimate design wind speed, </w:t>
      </w:r>
      <w:proofErr w:type="spellStart"/>
      <w:r w:rsidRPr="00F647A5">
        <w:rPr>
          <w:rFonts w:eastAsiaTheme="minorHAnsi"/>
          <w:strike/>
          <w:sz w:val="24"/>
          <w:szCs w:val="24"/>
          <w14:ligatures w14:val="standardContextual"/>
        </w:rPr>
        <w:t>Vult</w:t>
      </w:r>
      <w:proofErr w:type="spellEnd"/>
      <w:r w:rsidRPr="00F647A5">
        <w:rPr>
          <w:rFonts w:eastAsiaTheme="minorHAnsi"/>
          <w:strike/>
          <w:sz w:val="24"/>
          <w:szCs w:val="24"/>
          <w14:ligatures w14:val="standardContextual"/>
        </w:rPr>
        <w:t>, is 140 mph (63.6 m/s) or greater; or Hawaii.</w:t>
      </w:r>
    </w:p>
    <w:p w14:paraId="6048E5B5" w14:textId="77777777" w:rsidR="0014128E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E3BEE6F" w14:textId="7C36E054" w:rsidR="0014128E" w:rsidRPr="00CB5BBD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Building </w:t>
      </w:r>
    </w:p>
    <w:p w14:paraId="300C1342" w14:textId="77777777" w:rsidR="0014128E" w:rsidRDefault="0014128E" w:rsidP="00590739">
      <w:pPr>
        <w:rPr>
          <w:b/>
          <w:bCs/>
          <w:sz w:val="24"/>
          <w:szCs w:val="24"/>
          <w:u w:val="single"/>
        </w:rPr>
      </w:pPr>
    </w:p>
    <w:p w14:paraId="5C4FF67A" w14:textId="5042DC59" w:rsidR="00590739" w:rsidRPr="00CB5BBD" w:rsidRDefault="00590739" w:rsidP="00590739">
      <w:pPr>
        <w:rPr>
          <w:sz w:val="24"/>
          <w:szCs w:val="24"/>
          <w:u w:val="single"/>
        </w:rPr>
      </w:pPr>
      <w:r w:rsidRPr="00CB5BBD">
        <w:rPr>
          <w:b/>
          <w:bCs/>
          <w:sz w:val="24"/>
          <w:szCs w:val="24"/>
          <w:u w:val="single"/>
        </w:rPr>
        <w:t xml:space="preserve">WIND-BORNE DEBRIS REGION. </w:t>
      </w:r>
      <w:r w:rsidRPr="00CB5BBD">
        <w:rPr>
          <w:sz w:val="24"/>
          <w:szCs w:val="24"/>
          <w:u w:val="single"/>
        </w:rPr>
        <w:t>Areas within hurricane- prone regions located:</w:t>
      </w:r>
    </w:p>
    <w:p w14:paraId="02AF9CF0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262444E8" w14:textId="29827FC5" w:rsidR="00590739" w:rsidRPr="0014128E" w:rsidRDefault="00590739" w:rsidP="0014128E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greater; or</w:t>
      </w:r>
    </w:p>
    <w:p w14:paraId="58744815" w14:textId="07793715" w:rsidR="00590739" w:rsidRPr="00CB5BBD" w:rsidRDefault="00590739" w:rsidP="0014128E">
      <w:pPr>
        <w:ind w:firstLine="360"/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2. </w:t>
      </w:r>
      <w:r w:rsidR="0014128E">
        <w:rPr>
          <w:sz w:val="24"/>
          <w:szCs w:val="24"/>
          <w:u w:val="single"/>
        </w:rPr>
        <w:tab/>
      </w:r>
      <w:r w:rsidRPr="00CB5BBD">
        <w:rPr>
          <w:sz w:val="24"/>
          <w:szCs w:val="24"/>
          <w:u w:val="single"/>
        </w:rPr>
        <w:t xml:space="preserve">In areas where the ultimate design wind speed, </w:t>
      </w:r>
      <w:proofErr w:type="spellStart"/>
      <w:r w:rsidRPr="00CB5BBD">
        <w:rPr>
          <w:rFonts w:eastAsia="TimesNewRoman"/>
          <w:i/>
          <w:iCs/>
          <w:sz w:val="24"/>
          <w:szCs w:val="24"/>
          <w:u w:val="single"/>
        </w:rPr>
        <w:t>Vult</w:t>
      </w:r>
      <w:proofErr w:type="spellEnd"/>
      <w:r w:rsidRPr="00CB5BBD">
        <w:rPr>
          <w:sz w:val="24"/>
          <w:szCs w:val="24"/>
          <w:u w:val="single"/>
        </w:rPr>
        <w:t>, is 140 mph (63.6 m/s) or greater.</w:t>
      </w:r>
    </w:p>
    <w:p w14:paraId="1EB100D2" w14:textId="77777777" w:rsidR="0014128E" w:rsidRDefault="0014128E" w:rsidP="00590739">
      <w:pPr>
        <w:rPr>
          <w:sz w:val="24"/>
          <w:szCs w:val="24"/>
          <w:u w:val="single"/>
        </w:rPr>
      </w:pPr>
    </w:p>
    <w:p w14:paraId="7FFE2943" w14:textId="3811D1F9" w:rsidR="00590739" w:rsidRPr="00CB5BBD" w:rsidRDefault="00590739" w:rsidP="00590739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 xml:space="preserve">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 buildings and other structures and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 xml:space="preserve">III buildings and other structures, except health care facilities, the wind-borne debris region shall be based on Figure 1609.3(1). For </w:t>
      </w:r>
      <w:r w:rsidRPr="00CB5BBD">
        <w:rPr>
          <w:rFonts w:eastAsia="TimesNewRoman"/>
          <w:i/>
          <w:iCs/>
          <w:sz w:val="24"/>
          <w:szCs w:val="24"/>
          <w:u w:val="single"/>
        </w:rPr>
        <w:t xml:space="preserve">Risk Category </w:t>
      </w:r>
      <w:r w:rsidRPr="00CB5BBD">
        <w:rPr>
          <w:sz w:val="24"/>
          <w:szCs w:val="24"/>
          <w:u w:val="single"/>
        </w:rPr>
        <w:t>III health care facilities, the wind-borne debris region shall be based on Figure 1609.3(2). For Risk Category IV buildings and other structures, the wind-borne debris region shall be based on</w:t>
      </w:r>
    </w:p>
    <w:p w14:paraId="5481F529" w14:textId="77777777" w:rsidR="00590739" w:rsidRDefault="00590739" w:rsidP="00590739">
      <w:pPr>
        <w:rPr>
          <w:sz w:val="24"/>
          <w:szCs w:val="24"/>
          <w:u w:val="single"/>
        </w:rPr>
      </w:pPr>
      <w:r w:rsidRPr="00CB5BBD">
        <w:rPr>
          <w:sz w:val="24"/>
          <w:szCs w:val="24"/>
          <w:u w:val="single"/>
        </w:rPr>
        <w:t>Figure 1609.3(3).</w:t>
      </w:r>
    </w:p>
    <w:p w14:paraId="298ACA28" w14:textId="77777777" w:rsidR="0014128E" w:rsidRPr="00CB5BBD" w:rsidRDefault="0014128E" w:rsidP="0014128E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sz w:val="24"/>
          <w:szCs w:val="24"/>
        </w:rPr>
        <w:lastRenderedPageBreak/>
        <w:t>CHAPTER 2 DEFINITIONS</w:t>
      </w:r>
      <w:r>
        <w:rPr>
          <w:rFonts w:eastAsiaTheme="minorHAnsi"/>
          <w:b/>
          <w:bCs/>
          <w:sz w:val="24"/>
          <w:szCs w:val="24"/>
        </w:rPr>
        <w:t xml:space="preserve"> – FBC, Residential  </w:t>
      </w:r>
    </w:p>
    <w:p w14:paraId="301C362A" w14:textId="77777777" w:rsidR="0014128E" w:rsidRDefault="0014128E" w:rsidP="00590739">
      <w:pPr>
        <w:rPr>
          <w:sz w:val="24"/>
          <w:szCs w:val="24"/>
          <w:u w:val="single"/>
        </w:rPr>
      </w:pPr>
    </w:p>
    <w:p w14:paraId="059A3D28" w14:textId="2517F92B" w:rsidR="0014128E" w:rsidRPr="00CB5BBD" w:rsidRDefault="0014128E" w:rsidP="00590739">
      <w:pPr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WINDBORNE DEBRIS REGION. Areas within hurricane-prone regions located in accordance with one of the following:</w:t>
      </w:r>
    </w:p>
    <w:p w14:paraId="18A70F9F" w14:textId="77777777" w:rsidR="00590739" w:rsidRDefault="00590739" w:rsidP="00590739">
      <w:pPr>
        <w:rPr>
          <w:sz w:val="24"/>
          <w:szCs w:val="24"/>
          <w:u w:val="single"/>
        </w:rPr>
      </w:pPr>
    </w:p>
    <w:p w14:paraId="3383C7B6" w14:textId="77777777" w:rsidR="0014128E" w:rsidRPr="0014128E" w:rsidRDefault="0014128E" w:rsidP="0014128E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1.</w:t>
      </w:r>
      <w:r w:rsidRPr="0014128E">
        <w:rPr>
          <w:sz w:val="24"/>
          <w:szCs w:val="24"/>
          <w:u w:val="single"/>
        </w:rPr>
        <w:tab/>
        <w:t xml:space="preserve">Within 1 mile (1.61 km) of the coastal mean </w:t>
      </w:r>
      <w:proofErr w:type="gramStart"/>
      <w:r w:rsidRPr="0014128E">
        <w:rPr>
          <w:sz w:val="24"/>
          <w:szCs w:val="24"/>
          <w:u w:val="single"/>
        </w:rPr>
        <w:t>high water</w:t>
      </w:r>
      <w:proofErr w:type="gramEnd"/>
      <w:r w:rsidRPr="0014128E">
        <w:rPr>
          <w:sz w:val="24"/>
          <w:szCs w:val="24"/>
          <w:u w:val="single"/>
        </w:rPr>
        <w:t xml:space="preserve"> line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130 mph (58 m/s) or greater.</w:t>
      </w:r>
    </w:p>
    <w:p w14:paraId="673528AF" w14:textId="61915D64" w:rsidR="0014128E" w:rsidRPr="00CB5BBD" w:rsidRDefault="0014128E" w:rsidP="0014128E">
      <w:pPr>
        <w:ind w:left="720" w:hanging="720"/>
        <w:rPr>
          <w:sz w:val="24"/>
          <w:szCs w:val="24"/>
          <w:u w:val="single"/>
        </w:rPr>
      </w:pPr>
      <w:r w:rsidRPr="0014128E">
        <w:rPr>
          <w:sz w:val="24"/>
          <w:szCs w:val="24"/>
          <w:u w:val="single"/>
        </w:rPr>
        <w:t>2.</w:t>
      </w:r>
      <w:r w:rsidRPr="0014128E">
        <w:rPr>
          <w:sz w:val="24"/>
          <w:szCs w:val="24"/>
          <w:u w:val="single"/>
        </w:rPr>
        <w:tab/>
        <w:t xml:space="preserve">In areas where the ultimate design wind speed, </w:t>
      </w:r>
      <w:proofErr w:type="spellStart"/>
      <w:r w:rsidRPr="0014128E">
        <w:rPr>
          <w:sz w:val="24"/>
          <w:szCs w:val="24"/>
          <w:u w:val="single"/>
        </w:rPr>
        <w:t>Vult</w:t>
      </w:r>
      <w:proofErr w:type="spellEnd"/>
      <w:r w:rsidRPr="0014128E">
        <w:rPr>
          <w:sz w:val="24"/>
          <w:szCs w:val="24"/>
          <w:u w:val="single"/>
        </w:rPr>
        <w:t>, is 140 mph (63.6 m/s) or greater; or Hawaii.</w:t>
      </w:r>
    </w:p>
    <w:p w14:paraId="5C0F058D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4754D44E" w14:textId="77777777" w:rsidR="00590739" w:rsidRDefault="00590739" w:rsidP="00590739">
      <w:pPr>
        <w:rPr>
          <w:rFonts w:eastAsiaTheme="minorHAnsi"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color w:val="002060"/>
          <w:sz w:val="24"/>
          <w:szCs w:val="24"/>
          <w14:ligatures w14:val="standardContextual"/>
        </w:rPr>
        <w:t>TAC Recommendation</w:t>
      </w:r>
      <w:r w:rsidRPr="00CB5BBD">
        <w:rPr>
          <w:rFonts w:eastAsiaTheme="minorHAnsi"/>
          <w:color w:val="002060"/>
          <w:sz w:val="24"/>
          <w:szCs w:val="24"/>
          <w14:ligatures w14:val="standardContextual"/>
        </w:rPr>
        <w:t xml:space="preserve">: </w:t>
      </w:r>
      <w:r w:rsidRPr="00CB5BBD">
        <w:rPr>
          <w:rFonts w:eastAsiaTheme="minorHAnsi"/>
          <w:sz w:val="24"/>
          <w:szCs w:val="24"/>
          <w14:ligatures w14:val="standardContextual"/>
        </w:rPr>
        <w:t>Retain 7</w:t>
      </w:r>
      <w:r w:rsidRPr="00CB5BBD">
        <w:rPr>
          <w:rFonts w:eastAsiaTheme="minorHAnsi"/>
          <w:sz w:val="24"/>
          <w:szCs w:val="24"/>
          <w:vertAlign w:val="superscript"/>
          <w14:ligatures w14:val="standardContextual"/>
        </w:rPr>
        <w:t>th</w:t>
      </w:r>
      <w:r w:rsidRPr="00CB5BBD">
        <w:rPr>
          <w:rFonts w:eastAsiaTheme="minorHAnsi"/>
          <w:sz w:val="24"/>
          <w:szCs w:val="24"/>
          <w14:ligatures w14:val="standardContextual"/>
        </w:rPr>
        <w:t xml:space="preserve"> Edition Definition Pending a Study.</w:t>
      </w:r>
    </w:p>
    <w:p w14:paraId="5D885C33" w14:textId="77777777" w:rsidR="00590739" w:rsidRDefault="00590739" w:rsidP="00590739">
      <w:pPr>
        <w:rPr>
          <w:rFonts w:eastAsiaTheme="minorHAnsi"/>
          <w:sz w:val="24"/>
          <w:szCs w:val="24"/>
          <w14:ligatures w14:val="standardContextual"/>
        </w:rPr>
      </w:pPr>
    </w:p>
    <w:p w14:paraId="3FE1C8DD" w14:textId="77777777" w:rsidR="00590739" w:rsidRDefault="00590739" w:rsidP="00590739">
      <w:pPr>
        <w:jc w:val="both"/>
        <w:rPr>
          <w:rFonts w:ascii="Aptos" w:hAnsi="Aptos"/>
          <w:sz w:val="24"/>
          <w:szCs w:val="24"/>
        </w:rPr>
      </w:pPr>
      <w:r>
        <w:rPr>
          <w:rFonts w:ascii="Garamond" w:hAnsi="Garamond"/>
          <w:b/>
          <w:bCs/>
          <w:i/>
          <w:iCs/>
          <w:color w:val="00B050"/>
          <w:sz w:val="28"/>
          <w:szCs w:val="28"/>
        </w:rPr>
        <w:t>Motion:</w:t>
      </w:r>
      <w:r>
        <w:rPr>
          <w:rFonts w:ascii="Garamond" w:hAnsi="Garamond"/>
          <w:color w:val="00B050"/>
          <w:sz w:val="28"/>
          <w:szCs w:val="28"/>
        </w:rPr>
        <w:t> </w:t>
      </w:r>
      <w:r>
        <w:rPr>
          <w:rFonts w:ascii="Garamond" w:hAnsi="Garamond"/>
          <w:i/>
          <w:iCs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The Structural TAC recommends that the Commission amend the definition of </w:t>
      </w:r>
      <w:r>
        <w:rPr>
          <w:rFonts w:ascii="Garamond" w:hAnsi="Garamond"/>
          <w:i/>
          <w:iCs/>
          <w:sz w:val="28"/>
          <w:szCs w:val="28"/>
        </w:rPr>
        <w:t>Wind-Borne Debris Region</w:t>
      </w:r>
      <w:r>
        <w:rPr>
          <w:rFonts w:ascii="Garamond" w:hAnsi="Garamond"/>
          <w:sz w:val="28"/>
          <w:szCs w:val="28"/>
        </w:rPr>
        <w:t> from the 8</w:t>
      </w:r>
      <w:r>
        <w:rPr>
          <w:rFonts w:ascii="Garamond" w:hAnsi="Garamond"/>
          <w:sz w:val="28"/>
          <w:szCs w:val="28"/>
          <w:vertAlign w:val="superscript"/>
        </w:rPr>
        <w:t>th. </w:t>
      </w:r>
      <w:r>
        <w:rPr>
          <w:rFonts w:ascii="Garamond" w:hAnsi="Garamond"/>
          <w:sz w:val="28"/>
          <w:szCs w:val="28"/>
        </w:rPr>
        <w:t>Edition (2023) Florida Building Code back to the definition from the 7</w:t>
      </w:r>
      <w:r>
        <w:rPr>
          <w:rFonts w:ascii="Garamond" w:hAnsi="Garamond"/>
          <w:sz w:val="28"/>
          <w:szCs w:val="28"/>
          <w:vertAlign w:val="superscript"/>
        </w:rPr>
        <w:t>th.</w:t>
      </w:r>
      <w:r>
        <w:rPr>
          <w:rFonts w:ascii="Garamond" w:hAnsi="Garamond"/>
          <w:sz w:val="28"/>
          <w:szCs w:val="28"/>
        </w:rPr>
        <w:t xml:space="preserve"> Edition (2020) Florida Building </w:t>
      </w:r>
      <w:proofErr w:type="gramStart"/>
      <w:r>
        <w:rPr>
          <w:rFonts w:ascii="Garamond" w:hAnsi="Garamond"/>
          <w:sz w:val="28"/>
          <w:szCs w:val="28"/>
        </w:rPr>
        <w:t>Code, and</w:t>
      </w:r>
      <w:proofErr w:type="gramEnd"/>
      <w:r>
        <w:rPr>
          <w:rFonts w:ascii="Garamond" w:hAnsi="Garamond"/>
          <w:sz w:val="28"/>
          <w:szCs w:val="28"/>
        </w:rPr>
        <w:t xml:space="preserve"> defer any revisions to the definition pending the results of a research study to be commissioned by the Commission for a science-based analysis of the issue to inform the Commission’s decision on the definition no later than in time for consideration during the next code update cycle.</w:t>
      </w:r>
    </w:p>
    <w:p w14:paraId="53E3A00C" w14:textId="77777777" w:rsidR="00590739" w:rsidRDefault="00590739" w:rsidP="00590739">
      <w:pPr>
        <w:jc w:val="both"/>
        <w:rPr>
          <w:rFonts w:ascii="Aptos" w:hAnsi="Aptos"/>
          <w:sz w:val="24"/>
          <w:szCs w:val="24"/>
        </w:rPr>
      </w:pPr>
      <w:r>
        <w:rPr>
          <w:rFonts w:ascii="Garamond" w:hAnsi="Garamond"/>
          <w:b/>
          <w:bCs/>
          <w:color w:val="00B050"/>
          <w:sz w:val="28"/>
          <w:szCs w:val="28"/>
        </w:rPr>
        <w:t>TAC Action: Motion Passed, 10 – 1, in favor.</w:t>
      </w:r>
    </w:p>
    <w:p w14:paraId="3E848692" w14:textId="77777777" w:rsidR="00590739" w:rsidRPr="00CB5BBD" w:rsidRDefault="00590739" w:rsidP="00590739">
      <w:pPr>
        <w:rPr>
          <w:rFonts w:eastAsiaTheme="minorHAnsi"/>
          <w:color w:val="002060"/>
          <w:sz w:val="24"/>
          <w:szCs w:val="24"/>
        </w:rPr>
      </w:pPr>
    </w:p>
    <w:p w14:paraId="1C618543" w14:textId="77777777" w:rsidR="00590739" w:rsidRPr="00CB5BBD" w:rsidRDefault="00590739" w:rsidP="00590739">
      <w:pPr>
        <w:rPr>
          <w:rFonts w:eastAsiaTheme="minorHAnsi"/>
          <w:color w:val="002060"/>
          <w:sz w:val="24"/>
          <w:szCs w:val="24"/>
        </w:rPr>
      </w:pPr>
    </w:p>
    <w:p w14:paraId="64421568" w14:textId="77777777" w:rsidR="00590739" w:rsidRPr="00CB5BBD" w:rsidRDefault="00590739" w:rsidP="00590739">
      <w:pPr>
        <w:rPr>
          <w:rFonts w:eastAsiaTheme="minorHAnsi"/>
          <w:b/>
          <w:bCs/>
          <w:color w:val="002060"/>
          <w:sz w:val="24"/>
          <w:szCs w:val="24"/>
          <w14:ligatures w14:val="standardContextual"/>
        </w:rPr>
      </w:pPr>
      <w:r w:rsidRPr="00CB5BBD">
        <w:rPr>
          <w:rFonts w:eastAsiaTheme="minorHAnsi"/>
          <w:b/>
          <w:bCs/>
          <w:color w:val="002060"/>
          <w:sz w:val="24"/>
          <w:szCs w:val="24"/>
          <w14:ligatures w14:val="standardContextual"/>
        </w:rPr>
        <w:t>Commission Action:</w:t>
      </w:r>
    </w:p>
    <w:p w14:paraId="563C2E37" w14:textId="77777777" w:rsidR="00590739" w:rsidRPr="00CB5BBD" w:rsidRDefault="00590739" w:rsidP="00590739">
      <w:pPr>
        <w:rPr>
          <w:sz w:val="24"/>
          <w:szCs w:val="24"/>
          <w:u w:val="single"/>
        </w:rPr>
      </w:pPr>
    </w:p>
    <w:p w14:paraId="0B895F87" w14:textId="77777777" w:rsidR="00590739" w:rsidRPr="00CB5BBD" w:rsidRDefault="00590739" w:rsidP="00590739">
      <w:pPr>
        <w:widowControl/>
        <w:adjustRightInd w:val="0"/>
        <w:rPr>
          <w:sz w:val="28"/>
          <w:szCs w:val="28"/>
        </w:rPr>
      </w:pPr>
    </w:p>
    <w:sectPr w:rsidR="00590739" w:rsidRPr="00CB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29DE"/>
    <w:multiLevelType w:val="hybridMultilevel"/>
    <w:tmpl w:val="CAF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4207"/>
    <w:multiLevelType w:val="hybridMultilevel"/>
    <w:tmpl w:val="9974A188"/>
    <w:name w:val="Numbered list 1"/>
    <w:lvl w:ilvl="0" w:tplc="5BF8C0E4">
      <w:start w:val="1"/>
      <w:numFmt w:val="decimal"/>
      <w:lvlText w:val="%1."/>
      <w:lvlJc w:val="left"/>
      <w:pPr>
        <w:ind w:left="498" w:firstLine="0"/>
      </w:pPr>
      <w:rPr>
        <w:spacing w:val="0"/>
        <w:w w:val="99"/>
        <w:lang w:val="en-US" w:eastAsia="en-US" w:bidi="ar-SA"/>
      </w:rPr>
    </w:lvl>
    <w:lvl w:ilvl="1" w:tplc="7E96C510">
      <w:numFmt w:val="bullet"/>
      <w:lvlText w:val="•"/>
      <w:lvlJc w:val="left"/>
      <w:pPr>
        <w:ind w:left="1377" w:firstLine="0"/>
      </w:pPr>
      <w:rPr>
        <w:lang w:val="en-US" w:eastAsia="en-US" w:bidi="ar-SA"/>
      </w:rPr>
    </w:lvl>
    <w:lvl w:ilvl="2" w:tplc="9F46CE3C">
      <w:numFmt w:val="bullet"/>
      <w:lvlText w:val="•"/>
      <w:lvlJc w:val="left"/>
      <w:pPr>
        <w:ind w:left="2255" w:firstLine="0"/>
      </w:pPr>
      <w:rPr>
        <w:lang w:val="en-US" w:eastAsia="en-US" w:bidi="ar-SA"/>
      </w:rPr>
    </w:lvl>
    <w:lvl w:ilvl="3" w:tplc="61C43ADA">
      <w:numFmt w:val="bullet"/>
      <w:lvlText w:val="•"/>
      <w:lvlJc w:val="left"/>
      <w:pPr>
        <w:ind w:left="3133" w:firstLine="0"/>
      </w:pPr>
      <w:rPr>
        <w:lang w:val="en-US" w:eastAsia="en-US" w:bidi="ar-SA"/>
      </w:rPr>
    </w:lvl>
    <w:lvl w:ilvl="4" w:tplc="0F6E3538">
      <w:numFmt w:val="bullet"/>
      <w:lvlText w:val="•"/>
      <w:lvlJc w:val="left"/>
      <w:pPr>
        <w:ind w:left="4011" w:firstLine="0"/>
      </w:pPr>
      <w:rPr>
        <w:lang w:val="en-US" w:eastAsia="en-US" w:bidi="ar-SA"/>
      </w:rPr>
    </w:lvl>
    <w:lvl w:ilvl="5" w:tplc="2D2A0D78">
      <w:numFmt w:val="bullet"/>
      <w:lvlText w:val="•"/>
      <w:lvlJc w:val="left"/>
      <w:pPr>
        <w:ind w:left="4889" w:firstLine="0"/>
      </w:pPr>
      <w:rPr>
        <w:lang w:val="en-US" w:eastAsia="en-US" w:bidi="ar-SA"/>
      </w:rPr>
    </w:lvl>
    <w:lvl w:ilvl="6" w:tplc="0B7603C2">
      <w:numFmt w:val="bullet"/>
      <w:lvlText w:val="•"/>
      <w:lvlJc w:val="left"/>
      <w:pPr>
        <w:ind w:left="5767" w:firstLine="0"/>
      </w:pPr>
      <w:rPr>
        <w:lang w:val="en-US" w:eastAsia="en-US" w:bidi="ar-SA"/>
      </w:rPr>
    </w:lvl>
    <w:lvl w:ilvl="7" w:tplc="95265BF8">
      <w:numFmt w:val="bullet"/>
      <w:lvlText w:val="•"/>
      <w:lvlJc w:val="left"/>
      <w:pPr>
        <w:ind w:left="6645" w:firstLine="0"/>
      </w:pPr>
      <w:rPr>
        <w:lang w:val="en-US" w:eastAsia="en-US" w:bidi="ar-SA"/>
      </w:rPr>
    </w:lvl>
    <w:lvl w:ilvl="8" w:tplc="B99038C4">
      <w:numFmt w:val="bullet"/>
      <w:lvlText w:val="•"/>
      <w:lvlJc w:val="left"/>
      <w:pPr>
        <w:ind w:left="7523" w:firstLine="0"/>
      </w:pPr>
      <w:rPr>
        <w:lang w:val="en-US" w:eastAsia="en-US" w:bidi="ar-SA"/>
      </w:rPr>
    </w:lvl>
  </w:abstractNum>
  <w:abstractNum w:abstractNumId="2" w15:restartNumberingAfterBreak="0">
    <w:nsid w:val="77374F88"/>
    <w:multiLevelType w:val="hybridMultilevel"/>
    <w:tmpl w:val="DDE2CE70"/>
    <w:lvl w:ilvl="0" w:tplc="FFB6B7B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48516">
    <w:abstractNumId w:val="1"/>
  </w:num>
  <w:num w:numId="2" w16cid:durableId="1174607033">
    <w:abstractNumId w:val="2"/>
  </w:num>
  <w:num w:numId="3" w16cid:durableId="167943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9"/>
    <w:rsid w:val="0014128E"/>
    <w:rsid w:val="005404FA"/>
    <w:rsid w:val="00590739"/>
    <w:rsid w:val="00932664"/>
    <w:rsid w:val="009D4DB5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E520"/>
  <w15:chartTrackingRefBased/>
  <w15:docId w15:val="{69EA3493-4845-49EF-869A-C5E7F9A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0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3</cp:revision>
  <dcterms:created xsi:type="dcterms:W3CDTF">2024-02-27T20:31:00Z</dcterms:created>
  <dcterms:modified xsi:type="dcterms:W3CDTF">2024-03-19T15:26:00Z</dcterms:modified>
</cp:coreProperties>
</file>