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65C14" w14:textId="382DF019" w:rsidR="004C104F" w:rsidRDefault="004C104F" w:rsidP="004C104F">
      <w:pPr>
        <w:widowControl/>
        <w:autoSpaceDE/>
        <w:spacing w:after="200" w:line="276" w:lineRule="auto"/>
        <w:rPr>
          <w:rFonts w:asciiTheme="minorHAnsi" w:eastAsiaTheme="minorHAnsi" w:hAnsiTheme="minorHAnsi" w:cstheme="minorBidi"/>
          <w:b/>
          <w:sz w:val="28"/>
          <w:szCs w:val="28"/>
        </w:rPr>
      </w:pPr>
      <w:r>
        <w:rPr>
          <w:rFonts w:asciiTheme="minorHAnsi" w:eastAsiaTheme="minorHAnsi" w:hAnsiTheme="minorHAnsi" w:cstheme="minorBidi"/>
          <w:b/>
          <w:sz w:val="28"/>
          <w:szCs w:val="28"/>
        </w:rPr>
        <w:t xml:space="preserve">Structural Technical Advisory Committee – </w:t>
      </w:r>
      <w:r>
        <w:rPr>
          <w:rFonts w:asciiTheme="minorHAnsi" w:eastAsiaTheme="minorHAnsi" w:hAnsiTheme="minorHAnsi" w:cstheme="minorBidi"/>
          <w:b/>
          <w:sz w:val="28"/>
          <w:szCs w:val="28"/>
        </w:rPr>
        <w:t>Glitch</w:t>
      </w:r>
    </w:p>
    <w:p w14:paraId="356DA304" w14:textId="77777777" w:rsidR="004C104F" w:rsidRPr="00EF3AE8" w:rsidRDefault="004C104F" w:rsidP="004C104F">
      <w:pPr>
        <w:adjustRightInd w:val="0"/>
        <w:spacing w:after="160" w:line="260" w:lineRule="atLeast"/>
        <w:rPr>
          <w:rFonts w:eastAsia="Calibri"/>
          <w:b/>
          <w:noProof/>
          <w:color w:val="000000"/>
          <w:sz w:val="24"/>
          <w:szCs w:val="24"/>
        </w:rPr>
      </w:pPr>
      <w:r w:rsidRPr="00EF3AE8">
        <w:rPr>
          <w:rFonts w:eastAsia="Calibri"/>
          <w:b/>
          <w:noProof/>
          <w:color w:val="000000"/>
          <w:sz w:val="24"/>
          <w:szCs w:val="24"/>
        </w:rPr>
        <w:t>8</w:t>
      </w:r>
      <w:r w:rsidRPr="00EF3AE8">
        <w:rPr>
          <w:rFonts w:eastAsia="Calibri"/>
          <w:b/>
          <w:noProof/>
          <w:color w:val="000000"/>
          <w:sz w:val="24"/>
          <w:szCs w:val="24"/>
          <w:vertAlign w:val="superscript"/>
        </w:rPr>
        <w:t>th</w:t>
      </w:r>
      <w:r w:rsidRPr="00EF3AE8">
        <w:rPr>
          <w:rFonts w:eastAsia="Calibri"/>
          <w:b/>
          <w:noProof/>
          <w:color w:val="000000"/>
          <w:sz w:val="24"/>
          <w:szCs w:val="24"/>
        </w:rPr>
        <w:t xml:space="preserve"> Edition (2023) Florida Building Code – Existing Building </w:t>
      </w:r>
    </w:p>
    <w:p w14:paraId="4A139610" w14:textId="77777777" w:rsidR="004C104F" w:rsidRPr="00EF3AE8" w:rsidRDefault="004C104F" w:rsidP="004C104F">
      <w:pPr>
        <w:widowControl/>
        <w:autoSpaceDE/>
        <w:autoSpaceDN/>
        <w:spacing w:after="160" w:line="259" w:lineRule="auto"/>
        <w:rPr>
          <w:rFonts w:eastAsia="Calibri"/>
          <w:bCs/>
          <w:sz w:val="24"/>
          <w:szCs w:val="24"/>
        </w:rPr>
      </w:pPr>
      <w:r w:rsidRPr="00EF3AE8">
        <w:rPr>
          <w:rFonts w:eastAsia="Calibri"/>
          <w:bCs/>
          <w:sz w:val="24"/>
          <w:szCs w:val="24"/>
        </w:rPr>
        <w:t>Chapter 18 Minimum Requirements for The Mandatory Milestone Inspections</w:t>
      </w:r>
    </w:p>
    <w:p w14:paraId="3AAFF248" w14:textId="77777777" w:rsidR="004C104F" w:rsidRDefault="004C104F" w:rsidP="004C104F">
      <w:pPr>
        <w:widowControl/>
        <w:adjustRightInd w:val="0"/>
        <w:rPr>
          <w:rFonts w:eastAsiaTheme="minorHAnsi"/>
          <w:color w:val="FF0000"/>
        </w:rPr>
      </w:pPr>
      <w:r>
        <w:rPr>
          <w:rFonts w:eastAsiaTheme="minorHAnsi"/>
          <w:color w:val="FF0000"/>
        </w:rPr>
        <w:t>CA-FBC-EB - Ch. 18 – Glitch #1</w:t>
      </w:r>
    </w:p>
    <w:p w14:paraId="0AEE9066" w14:textId="77777777" w:rsidR="004C104F" w:rsidRDefault="004C104F" w:rsidP="004C104F">
      <w:pPr>
        <w:widowControl/>
        <w:adjustRightInd w:val="0"/>
        <w:rPr>
          <w:rFonts w:eastAsiaTheme="minorHAnsi"/>
          <w:b/>
          <w:bCs/>
        </w:rPr>
      </w:pPr>
    </w:p>
    <w:p w14:paraId="7D263D2B" w14:textId="77777777" w:rsidR="004C104F" w:rsidRPr="006A4063" w:rsidRDefault="004C104F" w:rsidP="004C104F">
      <w:pPr>
        <w:widowControl/>
        <w:adjustRightInd w:val="0"/>
        <w:rPr>
          <w:rFonts w:eastAsiaTheme="minorHAnsi"/>
          <w:b/>
          <w:bCs/>
        </w:rPr>
      </w:pPr>
      <w:r w:rsidRPr="006A4063">
        <w:rPr>
          <w:rFonts w:eastAsiaTheme="minorHAnsi"/>
          <w:b/>
          <w:bCs/>
        </w:rPr>
        <w:t>Staff</w:t>
      </w:r>
    </w:p>
    <w:p w14:paraId="3F058997" w14:textId="77777777" w:rsidR="004C104F" w:rsidRDefault="004C104F" w:rsidP="004C104F">
      <w:pPr>
        <w:widowControl/>
        <w:autoSpaceDE/>
        <w:autoSpaceDN/>
        <w:spacing w:after="100" w:afterAutospacing="1"/>
        <w:rPr>
          <w:rFonts w:eastAsia="Calibri"/>
          <w:bCs/>
        </w:rPr>
      </w:pPr>
    </w:p>
    <w:p w14:paraId="527C4025" w14:textId="77777777" w:rsidR="004C104F" w:rsidRPr="00EF3AE8" w:rsidRDefault="004C104F" w:rsidP="004C104F">
      <w:pPr>
        <w:widowControl/>
        <w:autoSpaceDE/>
        <w:autoSpaceDN/>
        <w:spacing w:after="100" w:afterAutospacing="1"/>
        <w:rPr>
          <w:rFonts w:eastAsia="Calibri"/>
          <w:bCs/>
        </w:rPr>
      </w:pPr>
      <w:r w:rsidRPr="00EF3AE8">
        <w:rPr>
          <w:rFonts w:eastAsia="Calibri"/>
          <w:bCs/>
        </w:rPr>
        <w:t>Chapter 18 Minimum Requirements for the Mandatory Milestone Inspections</w:t>
      </w:r>
    </w:p>
    <w:p w14:paraId="03B5A090" w14:textId="77777777" w:rsidR="004C104F" w:rsidRPr="00EF3AE8" w:rsidRDefault="004C104F" w:rsidP="004C10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00" w:afterAutospacing="1"/>
        <w:ind w:right="18"/>
        <w:jc w:val="both"/>
        <w:rPr>
          <w:rFonts w:eastAsia="Calibri"/>
          <w:bCs/>
        </w:rPr>
      </w:pPr>
      <w:r w:rsidRPr="00EF3AE8">
        <w:rPr>
          <w:rFonts w:eastAsia="Calibri"/>
          <w:bCs/>
        </w:rPr>
        <w:t>Revise section 1801.2 to read as follows:</w:t>
      </w:r>
    </w:p>
    <w:p w14:paraId="69DD74F9" w14:textId="77777777" w:rsidR="004C104F" w:rsidRPr="00EF3AE8" w:rsidRDefault="004C104F" w:rsidP="004C10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00" w:afterAutospacing="1"/>
        <w:ind w:right="18"/>
        <w:jc w:val="both"/>
        <w:rPr>
          <w:rFonts w:eastAsia="Calibri"/>
        </w:rPr>
      </w:pPr>
      <w:r w:rsidRPr="00EF3AE8">
        <w:rPr>
          <w:rFonts w:eastAsia="Calibri"/>
          <w:b/>
        </w:rPr>
        <w:t xml:space="preserve">1801.2 Scope.  </w:t>
      </w:r>
      <w:r w:rsidRPr="00EF3AE8">
        <w:rPr>
          <w:rFonts w:eastAsia="Calibri"/>
        </w:rPr>
        <w:t xml:space="preserve">An owner or </w:t>
      </w:r>
      <w:proofErr w:type="gramStart"/>
      <w:r w:rsidRPr="00EF3AE8">
        <w:rPr>
          <w:rFonts w:eastAsia="Calibri"/>
        </w:rPr>
        <w:t>owners</w:t>
      </w:r>
      <w:proofErr w:type="gramEnd"/>
      <w:r w:rsidRPr="00EF3AE8">
        <w:rPr>
          <w:rFonts w:eastAsia="Calibri"/>
        </w:rPr>
        <w:t xml:space="preserve"> of a building that is three </w:t>
      </w:r>
      <w:r w:rsidRPr="00EF3AE8">
        <w:rPr>
          <w:rFonts w:eastAsia="Calibri"/>
          <w:u w:val="single"/>
        </w:rPr>
        <w:t xml:space="preserve">habitable </w:t>
      </w:r>
      <w:r w:rsidRPr="00EF3AE8">
        <w:rPr>
          <w:rFonts w:eastAsia="Calibri"/>
        </w:rPr>
        <w:t>stories or more in height as determined by the Florida Building Code and that is subject, in whole or in part, to the condominium or cooperative form of ownership as a residential condominium under chapter 718 or a residential cooperative under chapter 719 must have a milestone inspection performed.</w:t>
      </w:r>
    </w:p>
    <w:p w14:paraId="6FDD6B4A" w14:textId="77777777" w:rsidR="004C104F" w:rsidRPr="00EF3AE8" w:rsidRDefault="004C104F" w:rsidP="004C104F">
      <w:pPr>
        <w:widowControl/>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autoSpaceDE/>
        <w:autoSpaceDN/>
        <w:spacing w:after="100" w:afterAutospacing="1"/>
        <w:ind w:right="18" w:firstLine="720"/>
        <w:jc w:val="both"/>
        <w:rPr>
          <w:rFonts w:eastAsia="Calibri"/>
          <w:b/>
          <w:bCs/>
        </w:rPr>
      </w:pPr>
      <w:r w:rsidRPr="00EF3AE8">
        <w:rPr>
          <w:rFonts w:eastAsia="Calibri"/>
          <w:b/>
          <w:bCs/>
        </w:rPr>
        <w:t xml:space="preserve">Exception: </w:t>
      </w:r>
      <w:r w:rsidRPr="00EF3AE8">
        <w:rPr>
          <w:rFonts w:eastAsia="Calibri"/>
        </w:rPr>
        <w:t>No change.</w:t>
      </w:r>
    </w:p>
    <w:p w14:paraId="1C69F93C" w14:textId="77777777" w:rsidR="004C104F" w:rsidRPr="00EF3AE8" w:rsidRDefault="004C104F" w:rsidP="004C104F">
      <w:pPr>
        <w:widowControl/>
        <w:tabs>
          <w:tab w:val="left" w:pos="10076"/>
          <w:tab w:val="left" w:pos="10992"/>
          <w:tab w:val="left" w:pos="11908"/>
          <w:tab w:val="left" w:pos="12824"/>
          <w:tab w:val="left" w:pos="13740"/>
          <w:tab w:val="left" w:pos="14656"/>
        </w:tabs>
        <w:autoSpaceDE/>
        <w:autoSpaceDN/>
        <w:spacing w:afterAutospacing="1"/>
        <w:ind w:right="720"/>
        <w:jc w:val="both"/>
        <w:rPr>
          <w:rFonts w:eastAsia="Calibri"/>
        </w:rPr>
      </w:pPr>
      <w:r w:rsidRPr="00EF3AE8">
        <w:rPr>
          <w:rFonts w:eastAsia="Calibri"/>
        </w:rPr>
        <w:t>Revise section 1808.2 to read as follows:</w:t>
      </w:r>
    </w:p>
    <w:p w14:paraId="288B364F" w14:textId="77777777" w:rsidR="004C104F" w:rsidRPr="00EF3AE8" w:rsidRDefault="004C104F" w:rsidP="004C104F">
      <w:pPr>
        <w:widowControl/>
        <w:tabs>
          <w:tab w:val="left" w:pos="10076"/>
          <w:tab w:val="left" w:pos="10992"/>
          <w:tab w:val="left" w:pos="11908"/>
          <w:tab w:val="left" w:pos="12824"/>
          <w:tab w:val="left" w:pos="13740"/>
          <w:tab w:val="left" w:pos="14656"/>
        </w:tabs>
        <w:autoSpaceDE/>
        <w:autoSpaceDN/>
        <w:spacing w:afterAutospacing="1"/>
        <w:ind w:right="720"/>
        <w:jc w:val="both"/>
        <w:rPr>
          <w:rFonts w:eastAsia="Calibri"/>
        </w:rPr>
      </w:pPr>
      <w:r w:rsidRPr="00EF3AE8">
        <w:rPr>
          <w:rFonts w:eastAsia="Calibri"/>
          <w:b/>
          <w:bCs/>
        </w:rPr>
        <w:t>1808.2</w:t>
      </w:r>
      <w:r w:rsidRPr="00EF3AE8">
        <w:rPr>
          <w:rFonts w:eastAsia="Calibri"/>
        </w:rPr>
        <w:t xml:space="preserve"> </w:t>
      </w:r>
      <w:r w:rsidRPr="00EF3AE8">
        <w:rPr>
          <w:rFonts w:eastAsia="Calibri"/>
          <w:b/>
        </w:rPr>
        <w:t xml:space="preserve">Repair.  </w:t>
      </w:r>
      <w:r w:rsidRPr="00EF3AE8">
        <w:rPr>
          <w:rFonts w:eastAsia="Calibri"/>
        </w:rPr>
        <w:t xml:space="preserve">A board of county commissioners or municipal governing body </w:t>
      </w:r>
      <w:r w:rsidRPr="00EF3AE8">
        <w:rPr>
          <w:rFonts w:eastAsia="Calibri"/>
          <w:strike/>
        </w:rPr>
        <w:t>may</w:t>
      </w:r>
      <w:r w:rsidRPr="00EF3AE8">
        <w:rPr>
          <w:rFonts w:eastAsia="Calibri"/>
        </w:rPr>
        <w:t xml:space="preserve"> </w:t>
      </w:r>
      <w:r w:rsidRPr="00EF3AE8">
        <w:rPr>
          <w:rFonts w:eastAsia="Calibri"/>
          <w:u w:val="single"/>
        </w:rPr>
        <w:t>shall</w:t>
      </w:r>
      <w:r w:rsidRPr="00EF3AE8">
        <w:rPr>
          <w:rFonts w:eastAsia="Calibri"/>
        </w:rPr>
        <w:t xml:space="preserve"> adopt an ordinance requiring that a condominium or cooperative association and any other owner that is subject to this section schedule or commence repairs for substantial structural deterioration within a specified timeframe after the local enforcement agency receives a phase two inspection report; however, such repairs must be commenced within 365 days after receiving such report. </w:t>
      </w:r>
    </w:p>
    <w:p w14:paraId="7FAF416C" w14:textId="77777777" w:rsidR="004C104F" w:rsidRPr="00EF3AE8" w:rsidRDefault="004C104F" w:rsidP="004C104F">
      <w:pPr>
        <w:widowControl/>
        <w:adjustRightInd w:val="0"/>
        <w:ind w:right="720"/>
        <w:rPr>
          <w:rFonts w:eastAsia="Calibri"/>
          <w:color w:val="000000"/>
          <w:sz w:val="24"/>
          <w:szCs w:val="24"/>
        </w:rPr>
      </w:pPr>
      <w:r w:rsidRPr="00EF3AE8">
        <w:rPr>
          <w:rFonts w:eastAsia="Calibri"/>
          <w:color w:val="000000"/>
          <w:sz w:val="24"/>
          <w:szCs w:val="24"/>
        </w:rPr>
        <w:t>Revise section 1808.3 to read as follows:</w:t>
      </w:r>
    </w:p>
    <w:p w14:paraId="016DCC71" w14:textId="77777777" w:rsidR="004C104F" w:rsidRPr="00EF3AE8" w:rsidRDefault="004C104F" w:rsidP="004C104F">
      <w:pPr>
        <w:widowControl/>
        <w:tabs>
          <w:tab w:val="left" w:pos="10076"/>
          <w:tab w:val="left" w:pos="10992"/>
          <w:tab w:val="left" w:pos="11908"/>
          <w:tab w:val="left" w:pos="12824"/>
          <w:tab w:val="left" w:pos="13740"/>
          <w:tab w:val="left" w:pos="14656"/>
        </w:tabs>
        <w:autoSpaceDE/>
        <w:autoSpaceDN/>
        <w:ind w:left="720" w:right="720"/>
        <w:jc w:val="both"/>
        <w:rPr>
          <w:rFonts w:eastAsia="Calibri"/>
          <w:b/>
          <w:bCs/>
          <w:sz w:val="24"/>
          <w:szCs w:val="24"/>
        </w:rPr>
      </w:pPr>
    </w:p>
    <w:p w14:paraId="6C48B66F" w14:textId="77777777" w:rsidR="004C104F" w:rsidRPr="00EF3AE8" w:rsidRDefault="004C104F" w:rsidP="004C104F">
      <w:pPr>
        <w:widowControl/>
        <w:tabs>
          <w:tab w:val="left" w:pos="10076"/>
          <w:tab w:val="left" w:pos="10992"/>
          <w:tab w:val="left" w:pos="11908"/>
          <w:tab w:val="left" w:pos="12824"/>
          <w:tab w:val="left" w:pos="13740"/>
          <w:tab w:val="left" w:pos="14656"/>
        </w:tabs>
        <w:autoSpaceDE/>
        <w:autoSpaceDN/>
        <w:spacing w:after="160" w:line="259" w:lineRule="auto"/>
        <w:ind w:right="18"/>
        <w:jc w:val="both"/>
        <w:rPr>
          <w:rFonts w:eastAsia="Calibri"/>
          <w:b/>
          <w:bCs/>
          <w:sz w:val="24"/>
          <w:szCs w:val="24"/>
        </w:rPr>
      </w:pPr>
      <w:r w:rsidRPr="00EF3AE8">
        <w:rPr>
          <w:rFonts w:eastAsia="Calibri"/>
          <w:b/>
          <w:bCs/>
          <w:sz w:val="24"/>
          <w:szCs w:val="24"/>
        </w:rPr>
        <w:t>1808.3 Required Repairs or Modifications:</w:t>
      </w:r>
    </w:p>
    <w:p w14:paraId="3C8BA0AF" w14:textId="77777777" w:rsidR="004C104F" w:rsidRPr="00EF3AE8" w:rsidRDefault="004C104F" w:rsidP="004C104F">
      <w:pPr>
        <w:spacing w:after="120"/>
        <w:ind w:left="720" w:right="14" w:hanging="360"/>
        <w:jc w:val="both"/>
        <w:rPr>
          <w:rFonts w:eastAsia="Arial"/>
          <w:sz w:val="24"/>
          <w:szCs w:val="24"/>
        </w:rPr>
      </w:pPr>
      <w:r w:rsidRPr="00EF3AE8">
        <w:rPr>
          <w:rFonts w:eastAsia="Arial"/>
          <w:b/>
          <w:bCs/>
          <w:sz w:val="24"/>
          <w:szCs w:val="24"/>
        </w:rPr>
        <w:t>1.</w:t>
      </w:r>
      <w:r w:rsidRPr="00EF3AE8">
        <w:rPr>
          <w:rFonts w:eastAsia="Arial"/>
          <w:sz w:val="24"/>
          <w:szCs w:val="24"/>
        </w:rPr>
        <w:tab/>
        <w:t xml:space="preserve">In the event that repairs or modifications are found to be necessary as a result of the milestone inspection, the building owner must commence such repairs or modifications within </w:t>
      </w:r>
      <w:r w:rsidRPr="00EF3AE8">
        <w:rPr>
          <w:rFonts w:eastAsia="Arial"/>
          <w:strike/>
          <w:sz w:val="24"/>
          <w:szCs w:val="24"/>
        </w:rPr>
        <w:t xml:space="preserve">365 days from the date the phase two milestone inspection report is received by the local enforcement agency </w:t>
      </w:r>
      <w:r w:rsidRPr="00EF3AE8">
        <w:rPr>
          <w:rFonts w:eastAsia="Arial"/>
          <w:strike/>
          <w:sz w:val="24"/>
          <w:szCs w:val="24"/>
          <w:u w:val="single"/>
        </w:rPr>
        <w:t>or</w:t>
      </w:r>
      <w:r w:rsidRPr="00EF3AE8">
        <w:rPr>
          <w:rFonts w:eastAsia="Arial"/>
          <w:sz w:val="24"/>
          <w:szCs w:val="24"/>
          <w:u w:val="single"/>
        </w:rPr>
        <w:t xml:space="preserve"> the timeframe as established by the local governing body in accordance with Section 1808.2</w:t>
      </w:r>
      <w:r w:rsidRPr="00EF3AE8">
        <w:rPr>
          <w:rFonts w:eastAsia="Arial"/>
          <w:sz w:val="24"/>
          <w:szCs w:val="24"/>
        </w:rPr>
        <w:t xml:space="preserve">.  All applicable requirements of this code shall be followed with all applicable permits obtained. If an owner or association fails to submit proof to the local enforcement agency that repairs have been commenced for substantial structural deterioration identified in the inspection report within the required timeframe, the structure may be deemed to be unsafe and unfit for occupation. Such findings shall be reviewed by the Building Official and shall be sent to the Special Magistrate, Code Enforcement Board, or Unsafe Structures Board, as appropriate. Such </w:t>
      </w:r>
      <w:proofErr w:type="gramStart"/>
      <w:r w:rsidRPr="00EF3AE8">
        <w:rPr>
          <w:rFonts w:eastAsia="Arial"/>
          <w:sz w:val="24"/>
          <w:szCs w:val="24"/>
        </w:rPr>
        <w:t>finding</w:t>
      </w:r>
      <w:proofErr w:type="gramEnd"/>
      <w:r w:rsidRPr="00EF3AE8">
        <w:rPr>
          <w:rFonts w:eastAsia="Arial"/>
          <w:sz w:val="24"/>
          <w:szCs w:val="24"/>
        </w:rPr>
        <w:t xml:space="preserve"> may also be reported as a complaint to the Department of Business and Professional Regulation Division of Condominiums, Timeshares, and Mobile Homes.</w:t>
      </w:r>
    </w:p>
    <w:p w14:paraId="53A02F37" w14:textId="77777777" w:rsidR="004C104F" w:rsidRPr="00EF3AE8" w:rsidRDefault="004C104F" w:rsidP="004C104F">
      <w:pPr>
        <w:ind w:left="720" w:right="18" w:hanging="360"/>
        <w:jc w:val="both"/>
        <w:rPr>
          <w:rFonts w:eastAsia="Arial"/>
          <w:b/>
          <w:bCs/>
          <w:sz w:val="24"/>
          <w:szCs w:val="24"/>
        </w:rPr>
      </w:pPr>
      <w:r w:rsidRPr="00EF3AE8">
        <w:rPr>
          <w:rFonts w:eastAsia="Arial"/>
          <w:b/>
          <w:bCs/>
          <w:sz w:val="24"/>
          <w:szCs w:val="24"/>
        </w:rPr>
        <w:t xml:space="preserve">2 – 4 No change </w:t>
      </w:r>
    </w:p>
    <w:p w14:paraId="4340426C" w14:textId="77777777" w:rsidR="004C104F" w:rsidRPr="00EF3AE8" w:rsidRDefault="004C104F" w:rsidP="004C104F">
      <w:pPr>
        <w:ind w:left="720" w:right="18" w:hanging="360"/>
        <w:jc w:val="both"/>
        <w:rPr>
          <w:rFonts w:eastAsia="Arial"/>
          <w:b/>
          <w:bCs/>
          <w:sz w:val="24"/>
          <w:szCs w:val="24"/>
        </w:rPr>
      </w:pPr>
    </w:p>
    <w:p w14:paraId="1341033A" w14:textId="77777777" w:rsidR="004C104F" w:rsidRPr="00EF3AE8" w:rsidRDefault="004C104F" w:rsidP="004C104F">
      <w:pPr>
        <w:widowControl/>
        <w:autoSpaceDE/>
        <w:autoSpaceDN/>
        <w:spacing w:after="160" w:line="259" w:lineRule="auto"/>
        <w:rPr>
          <w:rFonts w:ascii="Arial" w:eastAsia="Calibri" w:hAnsi="Arial" w:cs="Arial"/>
          <w:b/>
          <w:color w:val="EE0000"/>
          <w:sz w:val="20"/>
          <w:szCs w:val="20"/>
        </w:rPr>
      </w:pPr>
      <w:r w:rsidRPr="00EF3AE8">
        <w:rPr>
          <w:rFonts w:ascii="Arial" w:eastAsia="Calibri" w:hAnsi="Arial" w:cs="Arial"/>
          <w:b/>
          <w:color w:val="EE0000"/>
          <w:sz w:val="20"/>
          <w:szCs w:val="20"/>
        </w:rPr>
        <w:t>(Code language for consistency with HB 913 – bill effective date – July 1, 2025)</w:t>
      </w:r>
    </w:p>
    <w:p w14:paraId="40258151" w14:textId="77777777" w:rsidR="004C104F" w:rsidRDefault="004C104F" w:rsidP="004C104F">
      <w:pPr>
        <w:rPr>
          <w:rFonts w:ascii="TimesNewRoman" w:eastAsiaTheme="minorHAnsi" w:hAnsi="TimesNewRoman" w:cs="TimesNewRoman"/>
          <w:b/>
          <w:bCs/>
          <w:sz w:val="20"/>
          <w:szCs w:val="20"/>
          <w14:ligatures w14:val="standardContextual"/>
        </w:rPr>
      </w:pPr>
    </w:p>
    <w:p w14:paraId="79DED192" w14:textId="77777777" w:rsidR="004C104F" w:rsidRPr="006A4063" w:rsidRDefault="004C104F" w:rsidP="004C104F">
      <w:pPr>
        <w:rPr>
          <w:rFonts w:ascii="TimesNewRoman" w:eastAsiaTheme="minorHAnsi" w:hAnsi="TimesNewRoman" w:cs="TimesNewRoman"/>
          <w:sz w:val="20"/>
          <w:szCs w:val="20"/>
          <w14:ligatures w14:val="standardContextual"/>
        </w:rPr>
      </w:pPr>
      <w:r w:rsidRPr="006A4063">
        <w:rPr>
          <w:rFonts w:ascii="TimesNewRoman" w:eastAsiaTheme="minorHAnsi" w:hAnsi="TimesNewRoman" w:cs="TimesNewRoman"/>
          <w:b/>
          <w:bCs/>
          <w:sz w:val="20"/>
          <w:szCs w:val="20"/>
          <w14:ligatures w14:val="standardContextual"/>
        </w:rPr>
        <w:t>TAC Recommendation</w:t>
      </w:r>
      <w:r w:rsidRPr="006A4063">
        <w:rPr>
          <w:rFonts w:ascii="TimesNewRoman" w:eastAsiaTheme="minorHAnsi" w:hAnsi="TimesNewRoman" w:cs="TimesNewRoman"/>
          <w:sz w:val="20"/>
          <w:szCs w:val="20"/>
          <w14:ligatures w14:val="standardContextual"/>
        </w:rPr>
        <w:t>:</w:t>
      </w:r>
      <w:r>
        <w:rPr>
          <w:rFonts w:ascii="TimesNewRoman" w:eastAsiaTheme="minorHAnsi" w:hAnsi="TimesNewRoman" w:cs="TimesNewRoman"/>
          <w:sz w:val="20"/>
          <w:szCs w:val="20"/>
          <w14:ligatures w14:val="standardContextual"/>
        </w:rPr>
        <w:t xml:space="preserve"> </w:t>
      </w:r>
    </w:p>
    <w:p w14:paraId="741AC360" w14:textId="77777777" w:rsidR="004C104F" w:rsidRPr="006A4063" w:rsidRDefault="004C104F" w:rsidP="004C104F">
      <w:pPr>
        <w:rPr>
          <w:rFonts w:ascii="TimesNewRoman" w:eastAsiaTheme="minorHAnsi" w:hAnsi="TimesNewRoman" w:cs="TimesNewRoman"/>
          <w:sz w:val="20"/>
          <w:szCs w:val="20"/>
          <w14:ligatures w14:val="standardContextual"/>
        </w:rPr>
      </w:pPr>
    </w:p>
    <w:p w14:paraId="41C62519" w14:textId="77777777" w:rsidR="004C104F" w:rsidRPr="006A4063" w:rsidRDefault="004C104F" w:rsidP="004C104F">
      <w:pPr>
        <w:rPr>
          <w:rFonts w:ascii="TimesNewRoman" w:eastAsiaTheme="minorHAnsi" w:hAnsi="TimesNewRoman" w:cs="TimesNewRoman"/>
          <w:b/>
          <w:bCs/>
          <w:sz w:val="20"/>
          <w:szCs w:val="20"/>
          <w14:ligatures w14:val="standardContextual"/>
        </w:rPr>
      </w:pPr>
      <w:r w:rsidRPr="006A4063">
        <w:rPr>
          <w:rFonts w:ascii="TimesNewRoman" w:eastAsiaTheme="minorHAnsi" w:hAnsi="TimesNewRoman" w:cs="TimesNewRoman"/>
          <w:b/>
          <w:bCs/>
          <w:sz w:val="20"/>
          <w:szCs w:val="20"/>
          <w14:ligatures w14:val="standardContextual"/>
        </w:rPr>
        <w:t>Commission Action:</w:t>
      </w:r>
    </w:p>
    <w:p w14:paraId="698A0739" w14:textId="77777777" w:rsidR="004C104F" w:rsidRPr="001A71EC" w:rsidRDefault="004C104F" w:rsidP="004C104F">
      <w:pPr>
        <w:widowControl/>
        <w:autoSpaceDE/>
        <w:autoSpaceDN/>
        <w:spacing w:after="200" w:line="276" w:lineRule="auto"/>
        <w:rPr>
          <w:rFonts w:asciiTheme="minorHAnsi" w:eastAsiaTheme="minorHAnsi" w:hAnsiTheme="minorHAnsi" w:cstheme="minorBidi"/>
        </w:rPr>
      </w:pPr>
    </w:p>
    <w:p w14:paraId="6F43F90F" w14:textId="77777777" w:rsidR="004C104F" w:rsidRDefault="004C104F" w:rsidP="004C104F"/>
    <w:p w14:paraId="1678DAC6" w14:textId="77777777" w:rsidR="004C104F" w:rsidRDefault="004C104F"/>
    <w:sectPr w:rsidR="004C1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4F"/>
    <w:rsid w:val="002E6106"/>
    <w:rsid w:val="004C104F"/>
    <w:rsid w:val="00797F02"/>
    <w:rsid w:val="008F3AF4"/>
    <w:rsid w:val="009F3A89"/>
    <w:rsid w:val="00C05A90"/>
    <w:rsid w:val="00E03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D14D"/>
  <w15:chartTrackingRefBased/>
  <w15:docId w15:val="{F0F8C590-8B60-4E65-A2B0-A13FDB64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C104F"/>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4C104F"/>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C104F"/>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C104F"/>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C104F"/>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C104F"/>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C104F"/>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C104F"/>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C104F"/>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C104F"/>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0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10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10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10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10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10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0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0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04F"/>
    <w:rPr>
      <w:rFonts w:eastAsiaTheme="majorEastAsia" w:cstheme="majorBidi"/>
      <w:color w:val="272727" w:themeColor="text1" w:themeTint="D8"/>
    </w:rPr>
  </w:style>
  <w:style w:type="paragraph" w:styleId="Title">
    <w:name w:val="Title"/>
    <w:basedOn w:val="Normal"/>
    <w:next w:val="Normal"/>
    <w:link w:val="TitleChar"/>
    <w:uiPriority w:val="10"/>
    <w:qFormat/>
    <w:rsid w:val="004C104F"/>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C10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04F"/>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C10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04F"/>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C104F"/>
    <w:rPr>
      <w:i/>
      <w:iCs/>
      <w:color w:val="404040" w:themeColor="text1" w:themeTint="BF"/>
    </w:rPr>
  </w:style>
  <w:style w:type="paragraph" w:styleId="ListParagraph">
    <w:name w:val="List Paragraph"/>
    <w:basedOn w:val="Normal"/>
    <w:uiPriority w:val="34"/>
    <w:qFormat/>
    <w:rsid w:val="004C104F"/>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4C104F"/>
    <w:rPr>
      <w:i/>
      <w:iCs/>
      <w:color w:val="0F4761" w:themeColor="accent1" w:themeShade="BF"/>
    </w:rPr>
  </w:style>
  <w:style w:type="paragraph" w:styleId="IntenseQuote">
    <w:name w:val="Intense Quote"/>
    <w:basedOn w:val="Normal"/>
    <w:next w:val="Normal"/>
    <w:link w:val="IntenseQuoteChar"/>
    <w:uiPriority w:val="30"/>
    <w:qFormat/>
    <w:rsid w:val="004C104F"/>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C104F"/>
    <w:rPr>
      <w:i/>
      <w:iCs/>
      <w:color w:val="0F4761" w:themeColor="accent1" w:themeShade="BF"/>
    </w:rPr>
  </w:style>
  <w:style w:type="character" w:styleId="IntenseReference">
    <w:name w:val="Intense Reference"/>
    <w:basedOn w:val="DefaultParagraphFont"/>
    <w:uiPriority w:val="32"/>
    <w:qFormat/>
    <w:rsid w:val="004C10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1</cp:revision>
  <dcterms:created xsi:type="dcterms:W3CDTF">2025-07-10T12:35:00Z</dcterms:created>
  <dcterms:modified xsi:type="dcterms:W3CDTF">2025-07-10T12:38:00Z</dcterms:modified>
</cp:coreProperties>
</file>