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0D0" w14:textId="77777777" w:rsidR="009E6A00" w:rsidRPr="009E6A00" w:rsidRDefault="009E6A00" w:rsidP="009E6A00">
      <w:pPr>
        <w:shd w:val="clear" w:color="auto" w:fill="C6D9F1"/>
        <w:spacing w:after="0" w:line="240" w:lineRule="auto"/>
        <w:jc w:val="center"/>
        <w:rPr>
          <w:rFonts w:ascii="Garamond" w:eastAsia="Times New Roman" w:hAnsi="Garamond" w:cs="Calibri"/>
          <w:color w:val="000000"/>
        </w:rPr>
      </w:pPr>
      <w:r w:rsidRPr="009E6A00">
        <w:rPr>
          <w:rFonts w:ascii="Garamond" w:eastAsia="Times New Roman" w:hAnsi="Garamond" w:cs="Calibri"/>
          <w:b/>
          <w:bCs/>
          <w:caps/>
          <w:color w:val="000000"/>
          <w:sz w:val="24"/>
          <w:szCs w:val="24"/>
        </w:rPr>
        <w:t>FLORIDA BUILDING COMMISSION</w:t>
      </w:r>
    </w:p>
    <w:p w14:paraId="631FF35D" w14:textId="77777777" w:rsidR="009E6A00" w:rsidRPr="009E6A00" w:rsidRDefault="009E6A00" w:rsidP="009E6A00">
      <w:pPr>
        <w:shd w:val="clear" w:color="auto" w:fill="C6D9F1"/>
        <w:spacing w:after="0" w:line="240" w:lineRule="auto"/>
        <w:jc w:val="center"/>
        <w:rPr>
          <w:rFonts w:ascii="Garamond" w:hAnsi="Garamond"/>
        </w:rPr>
      </w:pPr>
    </w:p>
    <w:p w14:paraId="08BBD968" w14:textId="5871A6D5" w:rsidR="009E6A00" w:rsidRPr="009E6A00" w:rsidRDefault="009E6A00" w:rsidP="009E6A00">
      <w:pPr>
        <w:shd w:val="clear" w:color="auto" w:fill="C6D9F1"/>
        <w:spacing w:after="0" w:line="240" w:lineRule="auto"/>
        <w:jc w:val="center"/>
        <w:rPr>
          <w:rFonts w:ascii="Garamond" w:hAnsi="Garamond"/>
          <w:b/>
          <w:bCs/>
        </w:rPr>
      </w:pPr>
      <w:r w:rsidRPr="009E6A00">
        <w:rPr>
          <w:rFonts w:ascii="Garamond" w:hAnsi="Garamond"/>
          <w:b/>
          <w:bCs/>
        </w:rPr>
        <w:t>DECEMBER 14, 2021</w:t>
      </w:r>
    </w:p>
    <w:p w14:paraId="6101C15D" w14:textId="40FCD65C" w:rsidR="009E6A00" w:rsidRPr="009E6A00" w:rsidRDefault="009E6A00" w:rsidP="009E6A00">
      <w:pPr>
        <w:shd w:val="clear" w:color="auto" w:fill="C6D9F1"/>
        <w:spacing w:after="0" w:line="240" w:lineRule="auto"/>
        <w:jc w:val="center"/>
        <w:rPr>
          <w:rFonts w:ascii="Garamond" w:eastAsia="Times New Roman" w:hAnsi="Garamond" w:cs="Calibri"/>
          <w:color w:val="000000"/>
        </w:rPr>
      </w:pPr>
      <w:r w:rsidRPr="009E6A00">
        <w:rPr>
          <w:rFonts w:ascii="Garamond" w:eastAsia="Times New Roman" w:hAnsi="Garamond" w:cs="Calibri"/>
          <w:b/>
          <w:bCs/>
          <w:caps/>
          <w:color w:val="000000"/>
          <w:sz w:val="24"/>
          <w:szCs w:val="24"/>
        </w:rPr>
        <w:t>HILTON UNIVERSITY OF FLORIDA CONFERENCE CENTER</w:t>
      </w:r>
      <w:r w:rsidRPr="009E6A00">
        <w:rPr>
          <w:rFonts w:ascii="Garamond" w:eastAsia="Times New Roman" w:hAnsi="Garamond" w:cs="Arial"/>
          <w:color w:val="000000"/>
        </w:rPr>
        <w:br/>
      </w:r>
      <w:r w:rsidRPr="009E6A00">
        <w:rPr>
          <w:rFonts w:ascii="Garamond" w:eastAsia="Times New Roman" w:hAnsi="Garamond" w:cs="Calibri"/>
          <w:b/>
          <w:bCs/>
          <w:caps/>
          <w:color w:val="000000"/>
          <w:sz w:val="24"/>
          <w:szCs w:val="24"/>
        </w:rPr>
        <w:t>1714 SW 34</w:t>
      </w:r>
      <w:r w:rsidRPr="009E6A00">
        <w:rPr>
          <w:rFonts w:ascii="Garamond" w:eastAsia="Times New Roman" w:hAnsi="Garamond" w:cs="Calibri"/>
          <w:b/>
          <w:bCs/>
          <w:caps/>
          <w:color w:val="000000"/>
          <w:sz w:val="24"/>
          <w:szCs w:val="24"/>
          <w:vertAlign w:val="superscript"/>
        </w:rPr>
        <w:t>TH</w:t>
      </w:r>
      <w:r w:rsidRPr="009E6A00">
        <w:rPr>
          <w:rFonts w:ascii="Garamond" w:eastAsia="Times New Roman" w:hAnsi="Garamond" w:cs="Calibri"/>
          <w:b/>
          <w:bCs/>
          <w:caps/>
          <w:color w:val="000000"/>
          <w:sz w:val="24"/>
          <w:szCs w:val="24"/>
        </w:rPr>
        <w:t> ST.</w:t>
      </w:r>
      <w:r w:rsidRPr="009E6A00">
        <w:rPr>
          <w:rFonts w:ascii="Garamond" w:eastAsia="Times New Roman" w:hAnsi="Garamond" w:cs="Calibri"/>
          <w:b/>
          <w:bCs/>
          <w:caps/>
          <w:color w:val="000000"/>
          <w:sz w:val="24"/>
          <w:szCs w:val="24"/>
        </w:rPr>
        <w:br/>
        <w:t>GAINESVILLE, FLORIDA  32607</w:t>
      </w:r>
    </w:p>
    <w:p w14:paraId="4010F4B0" w14:textId="77777777" w:rsidR="009E6A00" w:rsidRDefault="009E6A00" w:rsidP="009E6A00">
      <w:pPr>
        <w:shd w:val="clear" w:color="auto" w:fill="C6D9F1"/>
        <w:spacing w:after="0" w:line="240" w:lineRule="auto"/>
        <w:jc w:val="center"/>
        <w:rPr>
          <w:rFonts w:ascii="Garamond" w:hAnsi="Garamond"/>
        </w:rPr>
      </w:pPr>
    </w:p>
    <w:p w14:paraId="1A3727A2" w14:textId="3EB8513A" w:rsidR="009E6A00" w:rsidRPr="009E6A00" w:rsidRDefault="009E6A00" w:rsidP="009E6A00">
      <w:pPr>
        <w:shd w:val="clear" w:color="auto" w:fill="C6D9F1"/>
        <w:spacing w:after="0" w:line="240" w:lineRule="auto"/>
        <w:jc w:val="center"/>
        <w:rPr>
          <w:rFonts w:ascii="Garamond" w:hAnsi="Garamond"/>
          <w:b/>
          <w:bCs/>
          <w:sz w:val="28"/>
          <w:szCs w:val="28"/>
        </w:rPr>
      </w:pPr>
      <w:r w:rsidRPr="009E6A00">
        <w:rPr>
          <w:rFonts w:ascii="Garamond" w:hAnsi="Garamond"/>
          <w:b/>
          <w:bCs/>
          <w:sz w:val="28"/>
          <w:szCs w:val="28"/>
        </w:rPr>
        <w:t>LEGAL REPORT</w:t>
      </w:r>
    </w:p>
    <w:p w14:paraId="087350A3" w14:textId="77777777" w:rsidR="009E6A00" w:rsidRPr="009E6A00" w:rsidRDefault="009E6A00" w:rsidP="009E6A00">
      <w:pPr>
        <w:shd w:val="clear" w:color="auto" w:fill="C6D9F1"/>
        <w:spacing w:after="0" w:line="240" w:lineRule="auto"/>
        <w:jc w:val="center"/>
        <w:rPr>
          <w:rFonts w:ascii="Garamond" w:eastAsia="Times New Roman" w:hAnsi="Garamond" w:cs="Calibri"/>
          <w:b/>
          <w:bCs/>
          <w:caps/>
          <w:color w:val="000000"/>
          <w:sz w:val="24"/>
          <w:szCs w:val="24"/>
        </w:rPr>
      </w:pPr>
    </w:p>
    <w:p w14:paraId="38234229" w14:textId="3BADEFD1" w:rsidR="00227991" w:rsidRDefault="00227991" w:rsidP="009E6A00">
      <w:pPr>
        <w:rPr>
          <w:rFonts w:ascii="Garamond" w:eastAsia="Times New Roman" w:hAnsi="Garamond" w:cs="Calibri"/>
          <w:b/>
          <w:bCs/>
          <w:caps/>
          <w:color w:val="000000"/>
          <w:sz w:val="24"/>
          <w:szCs w:val="24"/>
        </w:rPr>
      </w:pPr>
    </w:p>
    <w:p w14:paraId="1AD6055C" w14:textId="0E013BB6" w:rsidR="00227991" w:rsidRDefault="00227991" w:rsidP="005E3713">
      <w:pPr>
        <w:shd w:val="clear" w:color="auto" w:fill="F7CAAC" w:themeFill="accent2" w:themeFillTint="66"/>
        <w:rPr>
          <w:rFonts w:ascii="Garamond" w:eastAsia="Times New Roman" w:hAnsi="Garamond" w:cs="Calibri"/>
          <w:b/>
          <w:bCs/>
          <w:caps/>
          <w:color w:val="000000"/>
          <w:sz w:val="24"/>
          <w:szCs w:val="24"/>
        </w:rPr>
      </w:pPr>
      <w:r>
        <w:rPr>
          <w:rFonts w:ascii="Garamond" w:eastAsia="Times New Roman" w:hAnsi="Garamond" w:cs="Calibri"/>
          <w:b/>
          <w:bCs/>
          <w:caps/>
          <w:color w:val="000000"/>
          <w:sz w:val="24"/>
          <w:szCs w:val="24"/>
        </w:rPr>
        <w:t>Plumbing TechNICAL ADVISORY COMMITTEE (TAC)</w:t>
      </w:r>
    </w:p>
    <w:p w14:paraId="1B09C7C1" w14:textId="14EF3725" w:rsidR="009E6A00" w:rsidRPr="005E3713" w:rsidRDefault="009E6A00" w:rsidP="005E3713">
      <w:pPr>
        <w:ind w:left="720" w:hanging="630"/>
        <w:rPr>
          <w:rFonts w:ascii="Garamond" w:hAnsi="Garamond"/>
        </w:rPr>
      </w:pPr>
      <w:r w:rsidRPr="005E3713">
        <w:rPr>
          <w:rFonts w:ascii="Garamond" w:hAnsi="Garamond"/>
          <w:b/>
          <w:bCs/>
        </w:rPr>
        <w:t>Question:</w:t>
      </w:r>
      <w:r w:rsidRPr="005E3713">
        <w:rPr>
          <w:rFonts w:ascii="Garamond" w:hAnsi="Garamond"/>
        </w:rPr>
        <w:t xml:space="preserve">  </w:t>
      </w:r>
      <w:r w:rsidRPr="005E3713">
        <w:rPr>
          <w:rFonts w:ascii="Garamond" w:hAnsi="Garamond"/>
        </w:rPr>
        <w:tab/>
        <w:t xml:space="preserve">When a water heater is fitted with a tempering valve, does Florida Building Code - Plumbing 2020, Section 606.1, 8 require separate full open valves for the water heater and its dedicated tempering valve? </w:t>
      </w:r>
    </w:p>
    <w:p w14:paraId="4B1DB9CD" w14:textId="6140EAF6" w:rsidR="009E6A00" w:rsidRPr="005E3713" w:rsidRDefault="009E6A00" w:rsidP="005E3713">
      <w:pPr>
        <w:ind w:left="720" w:hanging="720"/>
        <w:rPr>
          <w:rFonts w:ascii="Garamond" w:hAnsi="Garamond"/>
        </w:rPr>
      </w:pPr>
      <w:r w:rsidRPr="005E3713">
        <w:rPr>
          <w:rFonts w:ascii="Garamond" w:hAnsi="Garamond"/>
          <w:b/>
          <w:bCs/>
        </w:rPr>
        <w:t>Answer:</w:t>
      </w:r>
      <w:r w:rsidRPr="005E3713">
        <w:rPr>
          <w:rFonts w:ascii="Garamond" w:hAnsi="Garamond"/>
        </w:rPr>
        <w:tab/>
        <w:t xml:space="preserve">The answer to the Petitioner’s question is no.  As per Section 606.1 of the 7th Edition (2020) Florida Building Code, Plumbing and for the project in question, full open valve is only required to be installed on the water supply pipe to the water heater and therefore, no such valve is required to be installed for the dedicated tempering valve.  </w:t>
      </w:r>
    </w:p>
    <w:sectPr w:rsidR="009E6A00" w:rsidRPr="005E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00"/>
    <w:rsid w:val="00227991"/>
    <w:rsid w:val="005E3713"/>
    <w:rsid w:val="009E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EB10"/>
  <w15:chartTrackingRefBased/>
  <w15:docId w15:val="{C7BCF865-05A6-4BDA-AE52-D637D7FA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6E60AF1A8C840AD694D77CA379B7B" ma:contentTypeVersion="11" ma:contentTypeDescription="Create a new document." ma:contentTypeScope="" ma:versionID="7085cd9f2e854cb0052b06c06351c95f">
  <xsd:schema xmlns:xsd="http://www.w3.org/2001/XMLSchema" xmlns:xs="http://www.w3.org/2001/XMLSchema" xmlns:p="http://schemas.microsoft.com/office/2006/metadata/properties" xmlns:ns3="9fc29ec6-5046-4c5e-bb3d-1a9fba03d9c6" targetNamespace="http://schemas.microsoft.com/office/2006/metadata/properties" ma:root="true" ma:fieldsID="a0593d4ba11c637063787138d3961385" ns3:_="">
    <xsd:import namespace="9fc29ec6-5046-4c5e-bb3d-1a9fba03d9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9ec6-5046-4c5e-bb3d-1a9fba03d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7A5CD-312A-49F3-B6D0-F11F6BD8E123}">
  <ds:schemaRefs>
    <ds:schemaRef ds:uri="http://schemas.microsoft.com/sharepoint/v3/contenttype/forms"/>
  </ds:schemaRefs>
</ds:datastoreItem>
</file>

<file path=customXml/itemProps2.xml><?xml version="1.0" encoding="utf-8"?>
<ds:datastoreItem xmlns:ds="http://schemas.openxmlformats.org/officeDocument/2006/customXml" ds:itemID="{3D327CCE-1C72-46D9-857B-D904A035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9ec6-5046-4c5e-bb3d-1a9fba03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ABD1E-415F-4BB8-9BE9-D8C4285EC359}">
  <ds:schemaRefs>
    <ds:schemaRef ds:uri="http://purl.org/dc/terms/"/>
    <ds:schemaRef ds:uri="9fc29ec6-5046-4c5e-bb3d-1a9fba03d9c6"/>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Bigelow</dc:creator>
  <cp:keywords/>
  <dc:description/>
  <cp:lastModifiedBy>Joe Bigelow</cp:lastModifiedBy>
  <cp:revision>2</cp:revision>
  <dcterms:created xsi:type="dcterms:W3CDTF">2021-12-03T17:52:00Z</dcterms:created>
  <dcterms:modified xsi:type="dcterms:W3CDTF">2021-12-03T17:52:00Z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0x01010029C6E60AF1A8C840AD694D77CA379B7B</vt:lpwstr>
  </property>
</Properties>
</file>