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F9" w:rsidRDefault="007336F9" w:rsidP="007336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7</w:t>
      </w:r>
      <w:r w:rsidRPr="007336F9">
        <w:rPr>
          <w:rFonts w:ascii="TimesNewRoman,Bold" w:hAnsi="TimesNewRoman,Bold" w:cs="TimesNewRoman,Bold"/>
          <w:b/>
          <w:bCs/>
          <w:sz w:val="20"/>
          <w:szCs w:val="20"/>
          <w:vertAlign w:val="superscript"/>
        </w:rPr>
        <w:t>th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Edition (2020) Florida Building Code – Building </w:t>
      </w:r>
    </w:p>
    <w:p w:rsidR="007336F9" w:rsidRDefault="007336F9" w:rsidP="007336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7336F9" w:rsidRPr="007336F9" w:rsidRDefault="007336F9" w:rsidP="007336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7336F9">
        <w:rPr>
          <w:rFonts w:ascii="Helvetica-Bold" w:hAnsi="Helvetica-Bold" w:cs="Helvetica-Bold"/>
          <w:b/>
          <w:bCs/>
          <w:sz w:val="24"/>
          <w:szCs w:val="24"/>
        </w:rPr>
        <w:t>CHAPTER 1</w:t>
      </w:r>
      <w:r w:rsidRPr="007336F9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Pr="007336F9">
        <w:rPr>
          <w:rFonts w:ascii="Helvetica-Bold" w:hAnsi="Helvetica-Bold" w:cs="Helvetica-Bold"/>
          <w:b/>
          <w:bCs/>
          <w:sz w:val="24"/>
          <w:szCs w:val="24"/>
        </w:rPr>
        <w:t>SCOPE AND ADMINISTRATION</w:t>
      </w:r>
    </w:p>
    <w:p w:rsidR="007336F9" w:rsidRDefault="007336F9" w:rsidP="007336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7336F9" w:rsidRDefault="007336F9" w:rsidP="007336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[A] 104.11 Alternative materials, design and methods of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construction and equipment. </w:t>
      </w:r>
      <w:r>
        <w:rPr>
          <w:rFonts w:ascii="TimesNewRoman" w:hAnsi="TimesNewRoman" w:cs="TimesNewRoman"/>
          <w:sz w:val="20"/>
          <w:szCs w:val="20"/>
        </w:rPr>
        <w:t>The provisions of this code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are not intended to prevent the installation of any material or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to prohibit any design or method of construction not specifically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prescribed by this </w:t>
      </w:r>
      <w:proofErr w:type="gramStart"/>
      <w:r>
        <w:rPr>
          <w:rFonts w:ascii="TimesNewRoman" w:hAnsi="TimesNewRoman" w:cs="TimesNewRoman"/>
          <w:sz w:val="20"/>
          <w:szCs w:val="20"/>
        </w:rPr>
        <w:t>code,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provided that any such alternative</w:t>
      </w:r>
    </w:p>
    <w:p w:rsidR="007336F9" w:rsidRDefault="007336F9" w:rsidP="007336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has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been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approved</w:t>
      </w:r>
      <w:r>
        <w:rPr>
          <w:rFonts w:ascii="TimesNewRoman" w:hAnsi="TimesNewRoman" w:cs="TimesNewRoman"/>
          <w:sz w:val="20"/>
          <w:szCs w:val="20"/>
        </w:rPr>
        <w:t>. An alternative material, design or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method of construction shall be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approved </w:t>
      </w:r>
      <w:r>
        <w:rPr>
          <w:rFonts w:ascii="TimesNewRoman" w:hAnsi="TimesNewRoman" w:cs="TimesNewRoman"/>
          <w:sz w:val="20"/>
          <w:szCs w:val="20"/>
        </w:rPr>
        <w:t xml:space="preserve">where the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building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official </w:t>
      </w:r>
      <w:r>
        <w:rPr>
          <w:rFonts w:ascii="TimesNewRoman" w:hAnsi="TimesNewRoman" w:cs="TimesNewRoman"/>
          <w:sz w:val="20"/>
          <w:szCs w:val="20"/>
        </w:rPr>
        <w:t>finds that the proposed design is satisfactory and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complies with the intent of the provisions of this code, and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that the material, method or work offered is, for the purpose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intended, not less than the equivalent of that prescribed in this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code in quality, strength, effectiveness,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fire resistance</w:t>
      </w:r>
      <w:r>
        <w:rPr>
          <w:rFonts w:ascii="TimesNewRoman" w:hAnsi="TimesNewRoman" w:cs="TimesNewRoman"/>
          <w:sz w:val="20"/>
          <w:szCs w:val="20"/>
        </w:rPr>
        <w:t>, durability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and safety. Where the alternative material, design or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method of construction is not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approved</w:t>
      </w:r>
      <w:r>
        <w:rPr>
          <w:rFonts w:ascii="TimesNewRoman" w:hAnsi="TimesNewRoman" w:cs="TimesNewRoman"/>
          <w:sz w:val="20"/>
          <w:szCs w:val="20"/>
        </w:rPr>
        <w:t xml:space="preserve">, the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building official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shall respond in writing, stating the reasons why the alternative</w:t>
      </w:r>
    </w:p>
    <w:p w:rsidR="007336F9" w:rsidRDefault="007336F9" w:rsidP="007336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was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not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approved</w:t>
      </w:r>
      <w:r>
        <w:rPr>
          <w:rFonts w:ascii="TimesNewRoman" w:hAnsi="TimesNewRoman" w:cs="TimesNewRoman"/>
          <w:sz w:val="20"/>
          <w:szCs w:val="20"/>
        </w:rPr>
        <w:t>.</w:t>
      </w:r>
    </w:p>
    <w:p w:rsidR="007336F9" w:rsidRDefault="007336F9" w:rsidP="007336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7336F9" w:rsidRDefault="007336F9" w:rsidP="007336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[A] 104.11.1 Research reports. </w:t>
      </w:r>
      <w:r>
        <w:rPr>
          <w:rFonts w:ascii="TimesNewRoman" w:hAnsi="TimesNewRoman" w:cs="TimesNewRoman"/>
          <w:sz w:val="20"/>
          <w:szCs w:val="20"/>
        </w:rPr>
        <w:t>Supporting data, where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necessary to assist in the approval of materials or assemblies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not specifically provided for in this code, shall consist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of valid research reports from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approved </w:t>
      </w:r>
      <w:r>
        <w:rPr>
          <w:rFonts w:ascii="TimesNewRoman" w:hAnsi="TimesNewRoman" w:cs="TimesNewRoman"/>
          <w:sz w:val="20"/>
          <w:szCs w:val="20"/>
        </w:rPr>
        <w:t>sources.</w:t>
      </w:r>
    </w:p>
    <w:p w:rsidR="007336F9" w:rsidRDefault="007336F9" w:rsidP="007336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7336F9" w:rsidRDefault="007336F9" w:rsidP="007336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[A] 104.11.2 Tests. </w:t>
      </w:r>
      <w:r>
        <w:rPr>
          <w:rFonts w:ascii="TimesNewRoman" w:hAnsi="TimesNewRoman" w:cs="TimesNewRoman"/>
          <w:sz w:val="20"/>
          <w:szCs w:val="20"/>
        </w:rPr>
        <w:t>Whenever there is insufficient evidence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of compliance with the provisions of this code, or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evidence that a material or method does not conform to the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requirements of this code, or in order to substantiate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claims for alternative materials or methods, the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building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official </w:t>
      </w:r>
      <w:r>
        <w:rPr>
          <w:rFonts w:ascii="TimesNewRoman" w:hAnsi="TimesNewRoman" w:cs="TimesNewRoman"/>
          <w:sz w:val="20"/>
          <w:szCs w:val="20"/>
        </w:rPr>
        <w:t>shall have the authority to require tests as evidence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of compliance to be made at no expense to the jurisdiction.</w:t>
      </w:r>
      <w:r>
        <w:rPr>
          <w:rFonts w:ascii="TimesNewRoman" w:hAnsi="TimesNewRoman" w:cs="TimesNewRoman"/>
          <w:sz w:val="20"/>
          <w:szCs w:val="20"/>
        </w:rPr>
        <w:t xml:space="preserve">  </w:t>
      </w:r>
      <w:r>
        <w:rPr>
          <w:rFonts w:ascii="TimesNewRoman" w:hAnsi="TimesNewRoman" w:cs="TimesNewRoman"/>
          <w:sz w:val="20"/>
          <w:szCs w:val="20"/>
        </w:rPr>
        <w:t>Test methods shall be as specified in this code or by other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recognized test standards. In the absence of recognized</w:t>
      </w:r>
    </w:p>
    <w:p w:rsidR="00FE4377" w:rsidRDefault="007336F9" w:rsidP="007308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and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accepted test methods, the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building official </w:t>
      </w:r>
      <w:r>
        <w:rPr>
          <w:rFonts w:ascii="TimesNewRoman" w:hAnsi="TimesNewRoman" w:cs="TimesNewRoman"/>
          <w:sz w:val="20"/>
          <w:szCs w:val="20"/>
        </w:rPr>
        <w:t>shall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approve the testing procedures. Tests shall be performed</w:t>
      </w:r>
      <w:r w:rsidR="00730813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by an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approved agency</w:t>
      </w:r>
      <w:r>
        <w:rPr>
          <w:rFonts w:ascii="TimesNewRoman" w:hAnsi="TimesNewRoman" w:cs="TimesNewRoman"/>
          <w:sz w:val="20"/>
          <w:szCs w:val="20"/>
        </w:rPr>
        <w:t>. Reports of such tests shall be</w:t>
      </w:r>
      <w:r w:rsidR="00730813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retained by the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building official </w:t>
      </w:r>
      <w:r>
        <w:rPr>
          <w:rFonts w:ascii="TimesNewRoman" w:hAnsi="TimesNewRoman" w:cs="TimesNewRoman"/>
          <w:sz w:val="20"/>
          <w:szCs w:val="20"/>
        </w:rPr>
        <w:t>for the period required for</w:t>
      </w:r>
      <w:r w:rsidR="00730813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retention of public records.</w:t>
      </w:r>
    </w:p>
    <w:p w:rsidR="007336F9" w:rsidRDefault="007336F9" w:rsidP="007336F9">
      <w:pPr>
        <w:rPr>
          <w:rFonts w:ascii="TimesNewRoman" w:hAnsi="TimesNewRoman" w:cs="TimesNewRoman"/>
          <w:sz w:val="20"/>
          <w:szCs w:val="20"/>
        </w:rPr>
      </w:pPr>
    </w:p>
    <w:p w:rsidR="007336F9" w:rsidRDefault="007336F9" w:rsidP="007336F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[A] 107.1 General. </w:t>
      </w:r>
      <w:r>
        <w:rPr>
          <w:rFonts w:ascii="TimesNewRoman" w:hAnsi="TimesNewRoman" w:cs="TimesNewRoman"/>
          <w:sz w:val="20"/>
          <w:szCs w:val="20"/>
        </w:rPr>
        <w:t xml:space="preserve">Submittal documents consisting of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construction</w:t>
      </w:r>
      <w:r w:rsidR="00730813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documents</w:t>
      </w:r>
      <w:r>
        <w:rPr>
          <w:rFonts w:ascii="TimesNewRoman" w:hAnsi="TimesNewRoman" w:cs="TimesNewRoman"/>
          <w:sz w:val="20"/>
          <w:szCs w:val="20"/>
        </w:rPr>
        <w:t xml:space="preserve">, statement of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special inspections</w:t>
      </w:r>
      <w:r>
        <w:rPr>
          <w:rFonts w:ascii="TimesNewRoman" w:hAnsi="TimesNewRoman" w:cs="TimesNewRoman"/>
          <w:sz w:val="20"/>
          <w:szCs w:val="20"/>
        </w:rPr>
        <w:t>, geotechnical</w:t>
      </w:r>
      <w:r w:rsidR="00730813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report and other data shall be submitted in two or</w:t>
      </w:r>
      <w:r w:rsidR="00730813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more sets with each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permit </w:t>
      </w:r>
      <w:r>
        <w:rPr>
          <w:rFonts w:ascii="TimesNewRoman" w:hAnsi="TimesNewRoman" w:cs="TimesNewRoman"/>
          <w:sz w:val="20"/>
          <w:szCs w:val="20"/>
        </w:rPr>
        <w:t xml:space="preserve">application. The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construction documents</w:t>
      </w:r>
      <w:r w:rsidR="00730813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shall be prepared by a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registered design professional</w:t>
      </w:r>
    </w:p>
    <w:p w:rsidR="007336F9" w:rsidRDefault="007336F9" w:rsidP="007336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where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required by Chapter 471,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Florida Statutes </w:t>
      </w:r>
      <w:r>
        <w:rPr>
          <w:rFonts w:ascii="TimesNewRoman" w:hAnsi="TimesNewRoman" w:cs="TimesNewRoman"/>
          <w:sz w:val="20"/>
          <w:szCs w:val="20"/>
        </w:rPr>
        <w:t>or Chapter</w:t>
      </w:r>
      <w:r w:rsidR="00730813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481,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Florida Statutes</w:t>
      </w:r>
      <w:r>
        <w:rPr>
          <w:rFonts w:ascii="TimesNewRoman" w:hAnsi="TimesNewRoman" w:cs="TimesNewRoman"/>
          <w:sz w:val="20"/>
          <w:szCs w:val="20"/>
        </w:rPr>
        <w:t>. Where special conditions exist, the</w:t>
      </w:r>
      <w:r w:rsidR="00730813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building official </w:t>
      </w:r>
      <w:r>
        <w:rPr>
          <w:rFonts w:ascii="TimesNewRoman" w:hAnsi="TimesNewRoman" w:cs="TimesNewRoman"/>
          <w:sz w:val="20"/>
          <w:szCs w:val="20"/>
        </w:rPr>
        <w:t xml:space="preserve">is authorized to require additional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construction</w:t>
      </w:r>
      <w:r w:rsidR="00730813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documents </w:t>
      </w:r>
      <w:r>
        <w:rPr>
          <w:rFonts w:ascii="TimesNewRoman" w:hAnsi="TimesNewRoman" w:cs="TimesNewRoman"/>
          <w:sz w:val="20"/>
          <w:szCs w:val="20"/>
        </w:rPr>
        <w:t xml:space="preserve">to be prepared by a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registered design professional</w:t>
      </w:r>
      <w:r>
        <w:rPr>
          <w:rFonts w:ascii="TimesNewRoman" w:hAnsi="TimesNewRoman" w:cs="TimesNewRoman"/>
          <w:sz w:val="20"/>
          <w:szCs w:val="20"/>
        </w:rPr>
        <w:t>.</w:t>
      </w:r>
    </w:p>
    <w:p w:rsidR="00730813" w:rsidRDefault="00730813" w:rsidP="007336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7336F9" w:rsidRDefault="007336F9" w:rsidP="007308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Exception: </w:t>
      </w:r>
      <w:r>
        <w:rPr>
          <w:rFonts w:ascii="TimesNewRoman" w:hAnsi="TimesNewRoman" w:cs="TimesNewRoman"/>
          <w:sz w:val="20"/>
          <w:szCs w:val="20"/>
        </w:rPr>
        <w:t xml:space="preserve">The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building official </w:t>
      </w:r>
      <w:r>
        <w:rPr>
          <w:rFonts w:ascii="TimesNewRoman" w:hAnsi="TimesNewRoman" w:cs="TimesNewRoman"/>
          <w:sz w:val="20"/>
          <w:szCs w:val="20"/>
        </w:rPr>
        <w:t>is authorized to waive the</w:t>
      </w:r>
      <w:r w:rsidR="00730813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submission of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construction documents </w:t>
      </w:r>
      <w:r>
        <w:rPr>
          <w:rFonts w:ascii="TimesNewRoman" w:hAnsi="TimesNewRoman" w:cs="TimesNewRoman"/>
          <w:sz w:val="20"/>
          <w:szCs w:val="20"/>
        </w:rPr>
        <w:t>and other data not</w:t>
      </w:r>
      <w:r w:rsidR="00730813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required to be prepared by a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registered design professional</w:t>
      </w:r>
      <w:r w:rsidR="00730813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if it is found that the nature of the work applied for is such</w:t>
      </w:r>
      <w:r w:rsidR="00730813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that review of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construction documents </w:t>
      </w:r>
      <w:r>
        <w:rPr>
          <w:rFonts w:ascii="TimesNewRoman" w:hAnsi="TimesNewRoman" w:cs="TimesNewRoman"/>
          <w:sz w:val="20"/>
          <w:szCs w:val="20"/>
        </w:rPr>
        <w:t>is not necessary to</w:t>
      </w:r>
      <w:r w:rsidR="00730813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obtain compliance with this code.</w:t>
      </w:r>
    </w:p>
    <w:p w:rsidR="00167E14" w:rsidRDefault="00167E14" w:rsidP="007308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167E14" w:rsidRDefault="00167E14" w:rsidP="00730813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167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F9"/>
    <w:rsid w:val="00167E14"/>
    <w:rsid w:val="00730813"/>
    <w:rsid w:val="007336F9"/>
    <w:rsid w:val="00AF15F4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2021-07-30T12:44:00Z</dcterms:created>
  <dcterms:modified xsi:type="dcterms:W3CDTF">2021-07-30T13:57:00Z</dcterms:modified>
</cp:coreProperties>
</file>