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A4970" w14:textId="5BA3E76F" w:rsidR="00107A28" w:rsidRPr="00507E77" w:rsidRDefault="00C46BE6" w:rsidP="000D7F24">
      <w:pPr>
        <w:pBdr>
          <w:top w:val="double" w:sz="4" w:space="8" w:color="auto"/>
          <w:left w:val="double" w:sz="4" w:space="4" w:color="auto"/>
          <w:bottom w:val="double" w:sz="4" w:space="4" w:color="auto"/>
          <w:right w:val="double" w:sz="4" w:space="4" w:color="auto"/>
        </w:pBdr>
        <w:shd w:val="clear" w:color="auto" w:fill="4F81BD" w:themeFill="accent1"/>
        <w:tabs>
          <w:tab w:val="left" w:pos="990"/>
        </w:tabs>
        <w:spacing w:after="0"/>
        <w:jc w:val="center"/>
        <w:rPr>
          <w:b/>
          <w:bCs/>
          <w:smallCaps/>
          <w:color w:val="FFFFFF" w:themeColor="background1"/>
          <w:sz w:val="28"/>
          <w:szCs w:val="28"/>
        </w:rPr>
      </w:pPr>
      <w:r>
        <w:rPr>
          <w:b/>
          <w:bCs/>
          <w:smallCaps/>
          <w:color w:val="FFFFFF" w:themeColor="background1"/>
          <w:sz w:val="28"/>
          <w:szCs w:val="28"/>
        </w:rPr>
        <w:t xml:space="preserve">Research Topics </w:t>
      </w:r>
      <w:r w:rsidR="00107A28" w:rsidRPr="00507E77">
        <w:rPr>
          <w:b/>
          <w:bCs/>
          <w:smallCaps/>
          <w:color w:val="FFFFFF" w:themeColor="background1"/>
          <w:sz w:val="28"/>
          <w:szCs w:val="28"/>
        </w:rPr>
        <w:t xml:space="preserve">Ranking Exercise </w:t>
      </w:r>
      <w:r w:rsidR="003400DA" w:rsidRPr="00507E77">
        <w:rPr>
          <w:b/>
          <w:bCs/>
          <w:smallCaps/>
          <w:color w:val="FFFFFF" w:themeColor="background1"/>
          <w:sz w:val="28"/>
          <w:szCs w:val="28"/>
        </w:rPr>
        <w:t>—</w:t>
      </w:r>
      <w:r w:rsidR="009345EB" w:rsidRPr="00507E77">
        <w:rPr>
          <w:b/>
          <w:bCs/>
          <w:smallCaps/>
          <w:color w:val="FFFFFF" w:themeColor="background1"/>
          <w:sz w:val="28"/>
          <w:szCs w:val="28"/>
        </w:rPr>
        <w:t xml:space="preserve">Hurricane Research Advisory Committee </w:t>
      </w:r>
      <w:r w:rsidR="00424F2E">
        <w:rPr>
          <w:b/>
          <w:bCs/>
          <w:smallCaps/>
          <w:color w:val="FFFFFF" w:themeColor="background1"/>
          <w:sz w:val="28"/>
          <w:szCs w:val="28"/>
        </w:rPr>
        <w:t>June 1</w:t>
      </w:r>
      <w:r w:rsidR="00A60130">
        <w:rPr>
          <w:b/>
          <w:bCs/>
          <w:smallCaps/>
          <w:color w:val="FFFFFF" w:themeColor="background1"/>
          <w:sz w:val="28"/>
          <w:szCs w:val="28"/>
        </w:rPr>
        <w:t xml:space="preserve">, </w:t>
      </w:r>
      <w:r w:rsidR="00424F2E">
        <w:rPr>
          <w:b/>
          <w:bCs/>
          <w:smallCaps/>
          <w:color w:val="FFFFFF" w:themeColor="background1"/>
          <w:sz w:val="28"/>
          <w:szCs w:val="28"/>
        </w:rPr>
        <w:t>2022</w:t>
      </w:r>
    </w:p>
    <w:p w14:paraId="2FDDE461" w14:textId="77777777" w:rsidR="00125ADA" w:rsidRPr="00507E77" w:rsidRDefault="00125ADA" w:rsidP="00125ADA">
      <w:pPr>
        <w:tabs>
          <w:tab w:val="left" w:pos="990"/>
        </w:tabs>
        <w:spacing w:after="0"/>
        <w:rPr>
          <w:b/>
          <w:bCs/>
          <w:smallCaps/>
          <w:sz w:val="12"/>
          <w:szCs w:val="12"/>
        </w:rPr>
      </w:pPr>
    </w:p>
    <w:p w14:paraId="28E8746B" w14:textId="77777777" w:rsidR="00447BA4" w:rsidRPr="00447BA4" w:rsidRDefault="00447BA4" w:rsidP="00447BA4">
      <w:pPr>
        <w:tabs>
          <w:tab w:val="left" w:pos="990"/>
        </w:tabs>
        <w:spacing w:after="0"/>
        <w:rPr>
          <w:b/>
          <w:bCs/>
          <w:smallCaps/>
          <w:sz w:val="28"/>
          <w:szCs w:val="28"/>
        </w:rPr>
      </w:pPr>
      <w:r w:rsidRPr="00447BA4">
        <w:rPr>
          <w:b/>
          <w:bCs/>
          <w:smallCaps/>
          <w:sz w:val="28"/>
          <w:szCs w:val="28"/>
        </w:rPr>
        <w:t>Process for Reviewing Research Projects:</w:t>
      </w:r>
    </w:p>
    <w:p w14:paraId="78C6FBD8" w14:textId="06D275BD" w:rsidR="00447BA4" w:rsidRPr="00447BA4" w:rsidRDefault="00447BA4" w:rsidP="00447BA4">
      <w:pPr>
        <w:numPr>
          <w:ilvl w:val="0"/>
          <w:numId w:val="7"/>
        </w:numPr>
        <w:tabs>
          <w:tab w:val="left" w:pos="990"/>
        </w:tabs>
        <w:spacing w:after="0"/>
        <w:contextualSpacing/>
        <w:jc w:val="both"/>
        <w:rPr>
          <w:rFonts w:eastAsia="Times New Roman" w:cs="Times New Roman"/>
          <w:lang w:eastAsia="en-US"/>
        </w:rPr>
      </w:pPr>
      <w:r w:rsidRPr="00447BA4">
        <w:rPr>
          <w:rFonts w:eastAsia="Times New Roman" w:cs="Times New Roman"/>
          <w:lang w:eastAsia="en-US"/>
        </w:rPr>
        <w:t xml:space="preserve">Projects proposals </w:t>
      </w:r>
      <w:r w:rsidR="00590BA5" w:rsidRPr="00590BA5">
        <w:rPr>
          <w:rFonts w:eastAsia="Times New Roman" w:cs="Times New Roman"/>
          <w:color w:val="FF0000"/>
          <w:lang w:eastAsia="en-US"/>
        </w:rPr>
        <w:t>(3</w:t>
      </w:r>
      <w:r w:rsidRPr="00590BA5">
        <w:rPr>
          <w:rFonts w:eastAsia="Times New Roman" w:cs="Times New Roman"/>
          <w:color w:val="FF0000"/>
          <w:lang w:eastAsia="en-US"/>
        </w:rPr>
        <w:t xml:space="preserve">) </w:t>
      </w:r>
      <w:r w:rsidRPr="00447BA4">
        <w:rPr>
          <w:rFonts w:eastAsia="Times New Roman" w:cs="Times New Roman"/>
          <w:lang w:eastAsia="en-US"/>
        </w:rPr>
        <w:t>required fo</w:t>
      </w:r>
      <w:r w:rsidR="00694388">
        <w:rPr>
          <w:rFonts w:eastAsia="Times New Roman" w:cs="Times New Roman"/>
          <w:lang w:eastAsia="en-US"/>
        </w:rPr>
        <w:t>r support of the</w:t>
      </w:r>
      <w:r w:rsidRPr="00447BA4">
        <w:rPr>
          <w:rFonts w:eastAsia="Times New Roman" w:cs="Times New Roman"/>
          <w:lang w:eastAsia="en-US"/>
        </w:rPr>
        <w:t xml:space="preserve"> development of the 2023 FBC will be funded by the Commission, and will not be included in the prioritization ranking exercise.</w:t>
      </w:r>
    </w:p>
    <w:p w14:paraId="04B8788C" w14:textId="7637ED2A" w:rsidR="00447BA4" w:rsidRPr="00447BA4" w:rsidRDefault="00447BA4" w:rsidP="00447BA4">
      <w:pPr>
        <w:numPr>
          <w:ilvl w:val="0"/>
          <w:numId w:val="7"/>
        </w:numPr>
        <w:tabs>
          <w:tab w:val="left" w:pos="990"/>
        </w:tabs>
        <w:spacing w:after="0"/>
        <w:contextualSpacing/>
        <w:jc w:val="both"/>
        <w:rPr>
          <w:rFonts w:eastAsia="Times New Roman" w:cs="Times New Roman"/>
          <w:lang w:eastAsia="en-US"/>
        </w:rPr>
      </w:pPr>
      <w:r w:rsidRPr="00447BA4">
        <w:rPr>
          <w:rFonts w:eastAsia="Times New Roman" w:cs="Times New Roman"/>
          <w:lang w:eastAsia="en-US"/>
        </w:rPr>
        <w:t>Remaining project proposals</w:t>
      </w:r>
      <w:r w:rsidR="00694388">
        <w:rPr>
          <w:rFonts w:eastAsia="Times New Roman" w:cs="Times New Roman"/>
          <w:lang w:eastAsia="en-US"/>
        </w:rPr>
        <w:t xml:space="preserve"> (6</w:t>
      </w:r>
      <w:r w:rsidRPr="00447BA4">
        <w:rPr>
          <w:rFonts w:eastAsia="Times New Roman" w:cs="Times New Roman"/>
          <w:lang w:eastAsia="en-US"/>
        </w:rPr>
        <w:t>) will be tested in turn with a straw poll vote regarding whether they meet the criteria for funding, those that achieve a 75% threshold on the straw poll will then be evaluated by the HRAC. PI’s whose project</w:t>
      </w:r>
      <w:r w:rsidR="00B71AB6">
        <w:rPr>
          <w:rFonts w:eastAsia="Times New Roman" w:cs="Times New Roman"/>
          <w:lang w:eastAsia="en-US"/>
        </w:rPr>
        <w:t xml:space="preserve">s don’t achieve a 75% straw </w:t>
      </w:r>
      <w:r w:rsidR="00B71AB6" w:rsidRPr="00B71AB6">
        <w:rPr>
          <w:rFonts w:eastAsia="Times New Roman" w:cs="Times New Roman"/>
          <w:color w:val="FF0000"/>
          <w:lang w:eastAsia="en-US"/>
        </w:rPr>
        <w:t>poll</w:t>
      </w:r>
      <w:r w:rsidRPr="00B71AB6">
        <w:rPr>
          <w:rFonts w:eastAsia="Times New Roman" w:cs="Times New Roman"/>
          <w:color w:val="FF0000"/>
          <w:lang w:eastAsia="en-US"/>
        </w:rPr>
        <w:t xml:space="preserve"> </w:t>
      </w:r>
      <w:r w:rsidRPr="00447BA4">
        <w:rPr>
          <w:rFonts w:eastAsia="Times New Roman" w:cs="Times New Roman"/>
          <w:lang w:eastAsia="en-US"/>
        </w:rPr>
        <w:t>level of support will be provided up to 3 minutes to address why their research project is consistent with the criteria for funding prior to the HRAC’s formal vote regarding which projects should be prioritized and recommended for funding by the Commission.</w:t>
      </w:r>
    </w:p>
    <w:p w14:paraId="33F535B4" w14:textId="77777777" w:rsidR="00447BA4" w:rsidRPr="00447BA4" w:rsidRDefault="00447BA4" w:rsidP="00447BA4">
      <w:pPr>
        <w:numPr>
          <w:ilvl w:val="0"/>
          <w:numId w:val="7"/>
        </w:numPr>
        <w:tabs>
          <w:tab w:val="left" w:pos="990"/>
        </w:tabs>
        <w:spacing w:after="0"/>
        <w:contextualSpacing/>
        <w:jc w:val="both"/>
        <w:rPr>
          <w:rFonts w:eastAsia="Times New Roman" w:cs="Times New Roman"/>
          <w:lang w:eastAsia="en-US"/>
        </w:rPr>
      </w:pPr>
      <w:r w:rsidRPr="00447BA4">
        <w:rPr>
          <w:rFonts w:eastAsia="Times New Roman" w:cs="Times New Roman"/>
          <w:lang w:eastAsia="en-US"/>
        </w:rPr>
        <w:t>PIs with projects that are deemed to meet the criteria for funding will have 5 minutes total to review their proposal with HRAC.</w:t>
      </w:r>
    </w:p>
    <w:p w14:paraId="6119FF9F" w14:textId="5F3B46F4" w:rsidR="00447BA4" w:rsidRPr="00447BA4" w:rsidRDefault="00447BA4" w:rsidP="00447BA4">
      <w:pPr>
        <w:numPr>
          <w:ilvl w:val="0"/>
          <w:numId w:val="7"/>
        </w:numPr>
        <w:tabs>
          <w:tab w:val="left" w:pos="990"/>
        </w:tabs>
        <w:spacing w:after="120"/>
        <w:contextualSpacing/>
        <w:jc w:val="both"/>
        <w:rPr>
          <w:rFonts w:eastAsia="Times New Roman" w:cs="Times New Roman"/>
          <w:lang w:eastAsia="en-US"/>
        </w:rPr>
      </w:pPr>
      <w:r w:rsidRPr="00447BA4">
        <w:rPr>
          <w:rFonts w:eastAsia="Times New Roman" w:cs="Times New Roman"/>
          <w:lang w:eastAsia="en-US"/>
        </w:rPr>
        <w:t>Once all research project proposals meeting the criteria are presented by the PIs and public comment received, the HRAC will participate in a ranking exercise to determine the recommended priority for funding the proposed projects based on the adopted criteria and using the ten-point ranking scale described in the Ranking Matrix. The results will be presented to the Commission for their</w:t>
      </w:r>
      <w:r w:rsidR="00694388">
        <w:rPr>
          <w:rFonts w:eastAsia="Times New Roman" w:cs="Times New Roman"/>
          <w:lang w:eastAsia="en-US"/>
        </w:rPr>
        <w:t xml:space="preserve"> consideration during the June 7, 2022 </w:t>
      </w:r>
      <w:r w:rsidRPr="00447BA4">
        <w:rPr>
          <w:rFonts w:eastAsia="Times New Roman" w:cs="Times New Roman"/>
          <w:lang w:eastAsia="en-US"/>
        </w:rPr>
        <w:t>Plenary Session.</w:t>
      </w:r>
    </w:p>
    <w:tbl>
      <w:tblPr>
        <w:tblStyle w:val="TableGrid1"/>
        <w:tblW w:w="0" w:type="auto"/>
        <w:tblLook w:val="04A0" w:firstRow="1" w:lastRow="0" w:firstColumn="1" w:lastColumn="0" w:noHBand="0" w:noVBand="1"/>
      </w:tblPr>
      <w:tblGrid>
        <w:gridCol w:w="9558"/>
        <w:gridCol w:w="4770"/>
      </w:tblGrid>
      <w:tr w:rsidR="00447BA4" w:rsidRPr="00447BA4" w14:paraId="459E2052" w14:textId="77777777" w:rsidTr="002A71FA">
        <w:tc>
          <w:tcPr>
            <w:tcW w:w="9558" w:type="dxa"/>
            <w:shd w:val="clear" w:color="auto" w:fill="DAEEF3" w:themeFill="accent5" w:themeFillTint="33"/>
          </w:tcPr>
          <w:p w14:paraId="678EC2E0" w14:textId="77777777" w:rsidR="00447BA4" w:rsidRPr="00447BA4" w:rsidRDefault="00447BA4" w:rsidP="00447BA4">
            <w:pPr>
              <w:tabs>
                <w:tab w:val="left" w:pos="990"/>
              </w:tabs>
              <w:spacing w:line="360" w:lineRule="auto"/>
              <w:rPr>
                <w:rFonts w:ascii="Garamond" w:hAnsi="Garamond"/>
                <w:b/>
                <w:bCs/>
                <w:smallCaps/>
                <w:sz w:val="28"/>
                <w:szCs w:val="28"/>
              </w:rPr>
            </w:pPr>
            <w:r w:rsidRPr="00447BA4">
              <w:rPr>
                <w:rFonts w:ascii="Garamond" w:hAnsi="Garamond"/>
                <w:b/>
                <w:bCs/>
                <w:smallCaps/>
                <w:sz w:val="28"/>
                <w:szCs w:val="28"/>
              </w:rPr>
              <w:t>Proposed Research Project Funding Analysis</w:t>
            </w:r>
          </w:p>
          <w:p w14:paraId="6AD70522" w14:textId="1CCB9F91" w:rsidR="00447BA4" w:rsidRPr="00447BA4" w:rsidRDefault="00447BA4" w:rsidP="00447BA4">
            <w:pPr>
              <w:numPr>
                <w:ilvl w:val="0"/>
                <w:numId w:val="3"/>
              </w:numPr>
              <w:tabs>
                <w:tab w:val="left" w:pos="990"/>
              </w:tabs>
              <w:contextualSpacing/>
              <w:rPr>
                <w:rFonts w:ascii="Garamond" w:eastAsia="Times New Roman" w:hAnsi="Garamond" w:cs="Times New Roman"/>
                <w:bCs/>
                <w:lang w:eastAsia="en-US"/>
              </w:rPr>
            </w:pPr>
            <w:r w:rsidRPr="00447BA4">
              <w:rPr>
                <w:rFonts w:ascii="Garamond" w:eastAsia="Times New Roman" w:hAnsi="Garamond" w:cs="Times New Roman"/>
                <w:bCs/>
                <w:lang w:eastAsia="en-US"/>
              </w:rPr>
              <w:t>There is</w:t>
            </w:r>
            <w:r w:rsidR="00ED10CE">
              <w:rPr>
                <w:rFonts w:ascii="Garamond" w:eastAsia="Times New Roman" w:hAnsi="Garamond" w:cs="Times New Roman"/>
                <w:bCs/>
                <w:lang w:eastAsia="en-US"/>
              </w:rPr>
              <w:t xml:space="preserve"> ~$450,000 available for FY 2022-2023</w:t>
            </w:r>
            <w:r w:rsidRPr="00447BA4">
              <w:rPr>
                <w:rFonts w:ascii="Garamond" w:eastAsia="Times New Roman" w:hAnsi="Garamond" w:cs="Times New Roman"/>
                <w:bCs/>
                <w:lang w:eastAsia="en-US"/>
              </w:rPr>
              <w:t xml:space="preserve"> funding.</w:t>
            </w:r>
          </w:p>
          <w:p w14:paraId="55ECC98F" w14:textId="17DCE809" w:rsidR="00447BA4" w:rsidRPr="00447BA4" w:rsidRDefault="00590BA5" w:rsidP="00447BA4">
            <w:pPr>
              <w:numPr>
                <w:ilvl w:val="0"/>
                <w:numId w:val="3"/>
              </w:numPr>
              <w:tabs>
                <w:tab w:val="left" w:pos="990"/>
              </w:tabs>
              <w:contextualSpacing/>
              <w:rPr>
                <w:rFonts w:ascii="Garamond" w:eastAsia="Times New Roman" w:hAnsi="Garamond" w:cs="Times New Roman"/>
                <w:bCs/>
                <w:lang w:eastAsia="en-US"/>
              </w:rPr>
            </w:pPr>
            <w:r>
              <w:rPr>
                <w:rFonts w:ascii="Garamond" w:eastAsia="Times New Roman" w:hAnsi="Garamond" w:cs="Times New Roman"/>
                <w:lang w:eastAsia="en-US"/>
              </w:rPr>
              <w:t xml:space="preserve">There are </w:t>
            </w:r>
            <w:r w:rsidRPr="006B0B53">
              <w:rPr>
                <w:rFonts w:ascii="Garamond" w:eastAsia="Times New Roman" w:hAnsi="Garamond" w:cs="Times New Roman"/>
                <w:lang w:eastAsia="en-US"/>
              </w:rPr>
              <w:t>3</w:t>
            </w:r>
            <w:r w:rsidR="00447BA4" w:rsidRPr="006B0B53">
              <w:rPr>
                <w:rFonts w:ascii="Garamond" w:eastAsia="Times New Roman" w:hAnsi="Garamond" w:cs="Times New Roman"/>
                <w:lang w:eastAsia="en-US"/>
              </w:rPr>
              <w:t xml:space="preserve"> </w:t>
            </w:r>
            <w:r w:rsidR="00447BA4" w:rsidRPr="00447BA4">
              <w:rPr>
                <w:rFonts w:ascii="Garamond" w:eastAsia="Times New Roman" w:hAnsi="Garamond" w:cs="Times New Roman"/>
                <w:lang w:eastAsia="en-US"/>
              </w:rPr>
              <w:t>projects r</w:t>
            </w:r>
            <w:r w:rsidR="00694388">
              <w:rPr>
                <w:rFonts w:ascii="Garamond" w:eastAsia="Times New Roman" w:hAnsi="Garamond" w:cs="Times New Roman"/>
                <w:lang w:eastAsia="en-US"/>
              </w:rPr>
              <w:t>equired for the</w:t>
            </w:r>
            <w:r w:rsidR="00447BA4" w:rsidRPr="00447BA4">
              <w:rPr>
                <w:rFonts w:ascii="Garamond" w:eastAsia="Times New Roman" w:hAnsi="Garamond" w:cs="Times New Roman"/>
                <w:lang w:eastAsia="en-US"/>
              </w:rPr>
              <w:t xml:space="preserve"> 2023 Code Development, requiring </w:t>
            </w:r>
            <w:r w:rsidR="00ED10CE">
              <w:rPr>
                <w:rFonts w:ascii="Garamond" w:eastAsia="Times New Roman" w:hAnsi="Garamond" w:cs="Times New Roman"/>
                <w:lang w:eastAsia="en-US"/>
              </w:rPr>
              <w:t>$189,97</w:t>
            </w:r>
            <w:r w:rsidR="00694388">
              <w:rPr>
                <w:rFonts w:ascii="Garamond" w:eastAsia="Times New Roman" w:hAnsi="Garamond" w:cs="Times New Roman"/>
                <w:lang w:eastAsia="en-US"/>
              </w:rPr>
              <w:t>7</w:t>
            </w:r>
            <w:r w:rsidR="00447BA4" w:rsidRPr="00447BA4">
              <w:rPr>
                <w:rFonts w:ascii="Garamond" w:eastAsia="Times New Roman" w:hAnsi="Garamond" w:cs="Times New Roman"/>
                <w:lang w:eastAsia="en-US"/>
              </w:rPr>
              <w:t xml:space="preserve"> in funding.</w:t>
            </w:r>
          </w:p>
          <w:p w14:paraId="77FD557A" w14:textId="1DB977B9" w:rsidR="00447BA4" w:rsidRPr="00590BA5" w:rsidRDefault="00447BA4" w:rsidP="00447BA4">
            <w:pPr>
              <w:numPr>
                <w:ilvl w:val="0"/>
                <w:numId w:val="3"/>
              </w:numPr>
              <w:tabs>
                <w:tab w:val="left" w:pos="990"/>
              </w:tabs>
              <w:contextualSpacing/>
              <w:rPr>
                <w:rFonts w:ascii="Garamond" w:eastAsia="Times New Roman" w:hAnsi="Garamond" w:cs="Times New Roman"/>
                <w:bCs/>
                <w:lang w:eastAsia="en-US"/>
              </w:rPr>
            </w:pPr>
            <w:r w:rsidRPr="00447BA4">
              <w:rPr>
                <w:rFonts w:ascii="Garamond" w:eastAsia="Times New Roman" w:hAnsi="Garamond" w:cs="Times New Roman"/>
                <w:bCs/>
                <w:lang w:eastAsia="en-US"/>
              </w:rPr>
              <w:t>There is a request for $</w:t>
            </w:r>
            <w:r w:rsidR="00C26F61">
              <w:rPr>
                <w:rFonts w:ascii="Garamond" w:eastAsia="Times New Roman" w:hAnsi="Garamond" w:cs="Times New Roman"/>
                <w:lang w:eastAsia="en-US"/>
              </w:rPr>
              <w:t>630,616</w:t>
            </w:r>
            <w:r w:rsidRPr="00447BA4">
              <w:rPr>
                <w:rFonts w:ascii="Garamond" w:eastAsia="Times New Roman" w:hAnsi="Garamond" w:cs="Times New Roman"/>
                <w:lang w:eastAsia="en-US"/>
              </w:rPr>
              <w:t xml:space="preserve"> in funding for proposed research projects</w:t>
            </w:r>
            <w:r w:rsidR="00C26F61">
              <w:rPr>
                <w:rFonts w:ascii="Garamond" w:eastAsia="Times New Roman" w:hAnsi="Garamond" w:cs="Times New Roman"/>
                <w:lang w:eastAsia="en-US"/>
              </w:rPr>
              <w:t xml:space="preserve"> (6</w:t>
            </w:r>
            <w:r w:rsidRPr="00447BA4">
              <w:rPr>
                <w:rFonts w:ascii="Garamond" w:eastAsia="Times New Roman" w:hAnsi="Garamond" w:cs="Times New Roman"/>
                <w:lang w:eastAsia="en-US"/>
              </w:rPr>
              <w:t xml:space="preserve"> projects).</w:t>
            </w:r>
          </w:p>
          <w:p w14:paraId="52FB857D" w14:textId="4E4DEEC2" w:rsidR="00590BA5" w:rsidRPr="006B0B53" w:rsidRDefault="00590BA5" w:rsidP="00447BA4">
            <w:pPr>
              <w:numPr>
                <w:ilvl w:val="0"/>
                <w:numId w:val="3"/>
              </w:numPr>
              <w:tabs>
                <w:tab w:val="left" w:pos="990"/>
              </w:tabs>
              <w:contextualSpacing/>
              <w:rPr>
                <w:rFonts w:ascii="Garamond" w:eastAsia="Times New Roman" w:hAnsi="Garamond" w:cs="Times New Roman"/>
                <w:bCs/>
                <w:lang w:eastAsia="en-US"/>
              </w:rPr>
            </w:pPr>
            <w:bookmarkStart w:id="0" w:name="_GoBack"/>
            <w:r w:rsidRPr="006B0B53">
              <w:rPr>
                <w:rFonts w:ascii="Garamond" w:eastAsia="Times New Roman" w:hAnsi="Garamond" w:cs="Times New Roman"/>
                <w:lang w:eastAsia="en-US"/>
              </w:rPr>
              <w:t xml:space="preserve">There is a total of </w:t>
            </w:r>
            <w:r w:rsidR="00B71AB6" w:rsidRPr="006B0B53">
              <w:rPr>
                <w:rFonts w:ascii="Garamond" w:eastAsia="Times New Roman" w:hAnsi="Garamond" w:cs="Times New Roman"/>
                <w:bCs/>
                <w:lang w:eastAsia="en-US"/>
              </w:rPr>
              <w:t>~</w:t>
            </w:r>
            <w:r w:rsidRPr="006B0B53">
              <w:rPr>
                <w:rFonts w:ascii="Garamond" w:eastAsia="Times New Roman" w:hAnsi="Garamond" w:cs="Times New Roman"/>
                <w:b/>
                <w:lang w:eastAsia="en-US"/>
              </w:rPr>
              <w:t>$260,023 in funding available</w:t>
            </w:r>
            <w:r w:rsidRPr="006B0B53">
              <w:rPr>
                <w:rFonts w:ascii="Garamond" w:eastAsia="Times New Roman" w:hAnsi="Garamond" w:cs="Times New Roman"/>
                <w:lang w:eastAsia="en-US"/>
              </w:rPr>
              <w:t xml:space="preserve"> for </w:t>
            </w:r>
            <w:r w:rsidR="00B71AB6" w:rsidRPr="006B0B53">
              <w:rPr>
                <w:rFonts w:ascii="Garamond" w:eastAsia="Times New Roman" w:hAnsi="Garamond" w:cs="Times New Roman"/>
                <w:lang w:eastAsia="en-US"/>
              </w:rPr>
              <w:t xml:space="preserve">the proposed research projects (6 projects).  </w:t>
            </w:r>
          </w:p>
          <w:bookmarkEnd w:id="0"/>
          <w:p w14:paraId="4CC5240D" w14:textId="0A83BD64" w:rsidR="00447BA4" w:rsidRPr="00447BA4" w:rsidRDefault="00447BA4" w:rsidP="00447BA4">
            <w:pPr>
              <w:numPr>
                <w:ilvl w:val="0"/>
                <w:numId w:val="3"/>
              </w:numPr>
              <w:tabs>
                <w:tab w:val="left" w:pos="990"/>
              </w:tabs>
              <w:contextualSpacing/>
              <w:rPr>
                <w:rFonts w:ascii="Garamond" w:eastAsia="Times New Roman" w:hAnsi="Garamond" w:cs="Times New Roman"/>
                <w:bCs/>
                <w:lang w:eastAsia="en-US"/>
              </w:rPr>
            </w:pPr>
            <w:r w:rsidRPr="00447BA4">
              <w:rPr>
                <w:rFonts w:ascii="Garamond" w:eastAsia="Times New Roman" w:hAnsi="Garamond" w:cs="Times New Roman"/>
                <w:lang w:eastAsia="en-US"/>
              </w:rPr>
              <w:t>Once prioritized and approved by the Commission, staff will fund the research projec</w:t>
            </w:r>
            <w:r w:rsidR="00C26F61">
              <w:rPr>
                <w:rFonts w:ascii="Garamond" w:eastAsia="Times New Roman" w:hAnsi="Garamond" w:cs="Times New Roman"/>
                <w:lang w:eastAsia="en-US"/>
              </w:rPr>
              <w:t>ts in priority order for FY 2022-2023</w:t>
            </w:r>
            <w:r w:rsidRPr="00447BA4">
              <w:rPr>
                <w:rFonts w:ascii="Garamond" w:eastAsia="Times New Roman" w:hAnsi="Garamond" w:cs="Times New Roman"/>
                <w:lang w:eastAsia="en-US"/>
              </w:rPr>
              <w:t xml:space="preserve"> based on the remaining fundi</w:t>
            </w:r>
            <w:r w:rsidR="00C26F61">
              <w:rPr>
                <w:rFonts w:ascii="Garamond" w:eastAsia="Times New Roman" w:hAnsi="Garamond" w:cs="Times New Roman"/>
                <w:lang w:eastAsia="en-US"/>
              </w:rPr>
              <w:t xml:space="preserve">ng available after funding </w:t>
            </w:r>
            <w:r w:rsidR="00ED10CE">
              <w:rPr>
                <w:rFonts w:ascii="Garamond" w:eastAsia="Times New Roman" w:hAnsi="Garamond" w:cs="Times New Roman"/>
                <w:lang w:eastAsia="en-US"/>
              </w:rPr>
              <w:t>the 3</w:t>
            </w:r>
            <w:r w:rsidRPr="00447BA4">
              <w:rPr>
                <w:rFonts w:ascii="Garamond" w:eastAsia="Times New Roman" w:hAnsi="Garamond" w:cs="Times New Roman"/>
                <w:lang w:eastAsia="en-US"/>
              </w:rPr>
              <w:t xml:space="preserve"> required projects.</w:t>
            </w:r>
          </w:p>
          <w:p w14:paraId="4204F4F1" w14:textId="77777777" w:rsidR="00447BA4" w:rsidRPr="00447BA4" w:rsidRDefault="00447BA4" w:rsidP="00447BA4">
            <w:pPr>
              <w:tabs>
                <w:tab w:val="left" w:pos="990"/>
              </w:tabs>
              <w:rPr>
                <w:rFonts w:ascii="Garamond" w:hAnsi="Garamond"/>
                <w:bCs/>
              </w:rPr>
            </w:pPr>
          </w:p>
        </w:tc>
        <w:tc>
          <w:tcPr>
            <w:tcW w:w="4770" w:type="dxa"/>
            <w:shd w:val="clear" w:color="auto" w:fill="DAEEF3" w:themeFill="accent5" w:themeFillTint="33"/>
          </w:tcPr>
          <w:p w14:paraId="5335A2CF" w14:textId="77777777" w:rsidR="00447BA4" w:rsidRPr="00447BA4" w:rsidRDefault="00447BA4" w:rsidP="00447BA4">
            <w:pPr>
              <w:tabs>
                <w:tab w:val="left" w:pos="990"/>
              </w:tabs>
              <w:jc w:val="both"/>
              <w:rPr>
                <w:rFonts w:ascii="Garamond" w:hAnsi="Garamond"/>
                <w:b/>
                <w:bCs/>
                <w:smallCaps/>
                <w:sz w:val="28"/>
                <w:szCs w:val="28"/>
              </w:rPr>
            </w:pPr>
            <w:r w:rsidRPr="00447BA4">
              <w:rPr>
                <w:rFonts w:ascii="Garamond" w:hAnsi="Garamond"/>
                <w:b/>
                <w:bCs/>
                <w:smallCaps/>
                <w:sz w:val="28"/>
                <w:szCs w:val="28"/>
              </w:rPr>
              <w:t>Criteria for Funding</w:t>
            </w:r>
          </w:p>
          <w:p w14:paraId="4BB3B032" w14:textId="77777777" w:rsidR="00447BA4" w:rsidRPr="00447BA4" w:rsidRDefault="00447BA4" w:rsidP="00447BA4">
            <w:pPr>
              <w:tabs>
                <w:tab w:val="left" w:pos="990"/>
              </w:tabs>
              <w:jc w:val="both"/>
              <w:rPr>
                <w:rFonts w:ascii="Garamond" w:hAnsi="Garamond"/>
                <w:bCs/>
              </w:rPr>
            </w:pPr>
            <w:r w:rsidRPr="00447BA4">
              <w:rPr>
                <w:rFonts w:ascii="Garamond" w:hAnsi="Garamond"/>
                <w:bCs/>
              </w:rPr>
              <w:t>For Each Project In Turn Does the Project Meet the 3 Criteria for Funding?</w:t>
            </w:r>
          </w:p>
          <w:p w14:paraId="477B5591" w14:textId="77777777" w:rsidR="00447BA4" w:rsidRPr="00447BA4" w:rsidRDefault="00447BA4" w:rsidP="00447BA4">
            <w:pPr>
              <w:numPr>
                <w:ilvl w:val="0"/>
                <w:numId w:val="4"/>
              </w:numPr>
              <w:tabs>
                <w:tab w:val="left" w:pos="990"/>
              </w:tabs>
              <w:contextualSpacing/>
              <w:jc w:val="both"/>
              <w:rPr>
                <w:rFonts w:ascii="Garamond" w:eastAsia="Times New Roman" w:hAnsi="Garamond" w:cs="Times New Roman"/>
                <w:bCs/>
                <w:lang w:eastAsia="en-US"/>
              </w:rPr>
            </w:pPr>
            <w:r w:rsidRPr="00447BA4">
              <w:rPr>
                <w:rFonts w:ascii="Garamond" w:eastAsia="Times New Roman" w:hAnsi="Garamond" w:cs="Times New Roman"/>
                <w:bCs/>
                <w:lang w:eastAsia="en-US"/>
              </w:rPr>
              <w:t>Meets Definition of “Research” and/or “Technical Enrichment.”</w:t>
            </w:r>
          </w:p>
          <w:p w14:paraId="618E68A0" w14:textId="77777777" w:rsidR="00447BA4" w:rsidRPr="00447BA4" w:rsidRDefault="00447BA4" w:rsidP="00447BA4">
            <w:pPr>
              <w:numPr>
                <w:ilvl w:val="0"/>
                <w:numId w:val="4"/>
              </w:numPr>
              <w:tabs>
                <w:tab w:val="left" w:pos="990"/>
              </w:tabs>
              <w:contextualSpacing/>
              <w:jc w:val="both"/>
              <w:rPr>
                <w:rFonts w:ascii="Garamond" w:eastAsia="Times New Roman" w:hAnsi="Garamond" w:cs="Times New Roman"/>
                <w:bCs/>
                <w:lang w:eastAsia="en-US"/>
              </w:rPr>
            </w:pPr>
            <w:r w:rsidRPr="00447BA4">
              <w:rPr>
                <w:rFonts w:ascii="Garamond" w:eastAsia="Times New Roman" w:hAnsi="Garamond" w:cs="Times New Roman"/>
                <w:bCs/>
                <w:lang w:eastAsia="en-US"/>
              </w:rPr>
              <w:t xml:space="preserve">Within the scope of </w:t>
            </w:r>
            <w:r w:rsidRPr="00447BA4">
              <w:rPr>
                <w:rFonts w:ascii="Garamond" w:eastAsia="Times New Roman" w:hAnsi="Garamond" w:cs="Calibri"/>
                <w:lang w:eastAsia="en-US"/>
              </w:rPr>
              <w:t>hurricane resistance research (water and wind resistance).</w:t>
            </w:r>
          </w:p>
          <w:p w14:paraId="2F50B0DF" w14:textId="77777777" w:rsidR="00447BA4" w:rsidRPr="00447BA4" w:rsidRDefault="00447BA4" w:rsidP="00447BA4">
            <w:pPr>
              <w:numPr>
                <w:ilvl w:val="0"/>
                <w:numId w:val="4"/>
              </w:numPr>
              <w:tabs>
                <w:tab w:val="left" w:pos="990"/>
              </w:tabs>
              <w:contextualSpacing/>
              <w:jc w:val="both"/>
              <w:rPr>
                <w:rFonts w:ascii="Garamond" w:eastAsia="Times New Roman" w:hAnsi="Garamond" w:cs="Times New Roman"/>
                <w:bCs/>
                <w:lang w:eastAsia="en-US"/>
              </w:rPr>
            </w:pPr>
            <w:r w:rsidRPr="00447BA4">
              <w:rPr>
                <w:rFonts w:ascii="Garamond" w:eastAsia="Times New Roman" w:hAnsi="Garamond" w:cs="Times New Roman"/>
                <w:bCs/>
                <w:lang w:eastAsia="en-US"/>
              </w:rPr>
              <w:t>Urgency/Immediacy: Needed to support the 2020 Florida Building Code, or for the development of 2023 FBC.</w:t>
            </w:r>
          </w:p>
        </w:tc>
      </w:tr>
    </w:tbl>
    <w:p w14:paraId="595D4B06" w14:textId="77777777" w:rsidR="00C46BE6" w:rsidRDefault="00C46BE6" w:rsidP="00125ADA">
      <w:pPr>
        <w:tabs>
          <w:tab w:val="left" w:pos="990"/>
        </w:tabs>
        <w:spacing w:after="0"/>
        <w:rPr>
          <w:b/>
          <w:bCs/>
          <w:smallCaps/>
          <w:sz w:val="28"/>
          <w:szCs w:val="28"/>
        </w:rPr>
      </w:pPr>
    </w:p>
    <w:p w14:paraId="3DCAD209" w14:textId="77777777" w:rsidR="00447BA4" w:rsidRDefault="00447BA4" w:rsidP="00125ADA">
      <w:pPr>
        <w:tabs>
          <w:tab w:val="left" w:pos="990"/>
        </w:tabs>
        <w:spacing w:after="0"/>
        <w:rPr>
          <w:b/>
          <w:bCs/>
          <w:smallCaps/>
          <w:sz w:val="28"/>
          <w:szCs w:val="28"/>
        </w:rPr>
      </w:pPr>
    </w:p>
    <w:tbl>
      <w:tblPr>
        <w:tblStyle w:val="TableGrid"/>
        <w:tblW w:w="0" w:type="auto"/>
        <w:tblLook w:val="04A0" w:firstRow="1" w:lastRow="0" w:firstColumn="1" w:lastColumn="0" w:noHBand="0" w:noVBand="1"/>
      </w:tblPr>
      <w:tblGrid>
        <w:gridCol w:w="14328"/>
      </w:tblGrid>
      <w:tr w:rsidR="00210B67" w14:paraId="048390A6" w14:textId="77777777" w:rsidTr="00210B67">
        <w:tc>
          <w:tcPr>
            <w:tcW w:w="14328" w:type="dxa"/>
            <w:shd w:val="clear" w:color="auto" w:fill="00B0F0"/>
          </w:tcPr>
          <w:p w14:paraId="18F8312F" w14:textId="3C3EC40B" w:rsidR="00210B67" w:rsidRDefault="00210B67" w:rsidP="00125ADA">
            <w:pPr>
              <w:tabs>
                <w:tab w:val="left" w:pos="990"/>
              </w:tabs>
              <w:rPr>
                <w:b/>
                <w:bCs/>
                <w:smallCaps/>
                <w:sz w:val="28"/>
                <w:szCs w:val="28"/>
              </w:rPr>
            </w:pPr>
            <w:r>
              <w:rPr>
                <w:b/>
                <w:bCs/>
                <w:smallCaps/>
                <w:sz w:val="28"/>
                <w:szCs w:val="28"/>
              </w:rPr>
              <w:t>Project Description (State of Florida University: PI/Researcher); [Project Cost]</w:t>
            </w:r>
          </w:p>
        </w:tc>
      </w:tr>
    </w:tbl>
    <w:p w14:paraId="78942298" w14:textId="77777777" w:rsidR="00C46BE6" w:rsidRDefault="00C46BE6" w:rsidP="00125ADA">
      <w:pPr>
        <w:tabs>
          <w:tab w:val="left" w:pos="990"/>
        </w:tabs>
        <w:spacing w:after="0"/>
        <w:rPr>
          <w:b/>
          <w:bCs/>
          <w:smallCaps/>
          <w:sz w:val="28"/>
          <w:szCs w:val="28"/>
        </w:rPr>
      </w:pPr>
    </w:p>
    <w:tbl>
      <w:tblPr>
        <w:tblStyle w:val="TableGrid"/>
        <w:tblW w:w="0" w:type="auto"/>
        <w:tblLook w:val="04A0" w:firstRow="1" w:lastRow="0" w:firstColumn="1" w:lastColumn="0" w:noHBand="0" w:noVBand="1"/>
      </w:tblPr>
      <w:tblGrid>
        <w:gridCol w:w="14328"/>
      </w:tblGrid>
      <w:tr w:rsidR="00B27BDA" w:rsidRPr="008459AF" w14:paraId="514D1A0E" w14:textId="77777777" w:rsidTr="00B27BDA">
        <w:tc>
          <w:tcPr>
            <w:tcW w:w="14328" w:type="dxa"/>
          </w:tcPr>
          <w:p w14:paraId="7987296C" w14:textId="64B09E20" w:rsidR="00B27BDA" w:rsidRPr="008459AF" w:rsidRDefault="00B27BDA" w:rsidP="00125ADA">
            <w:pPr>
              <w:tabs>
                <w:tab w:val="left" w:pos="990"/>
              </w:tabs>
              <w:rPr>
                <w:rFonts w:ascii="Times New Roman" w:hAnsi="Times New Roman" w:cs="Times New Roman"/>
                <w:b/>
                <w:bCs/>
                <w:smallCaps/>
              </w:rPr>
            </w:pPr>
            <w:r w:rsidRPr="008459AF">
              <w:rPr>
                <w:rFonts w:ascii="Times New Roman" w:hAnsi="Times New Roman" w:cs="Times New Roman"/>
                <w:b/>
                <w:bCs/>
                <w:smallCaps/>
              </w:rPr>
              <w:t>A.)</w:t>
            </w:r>
            <w:r w:rsidRPr="008459AF">
              <w:rPr>
                <w:rFonts w:ascii="Times New Roman" w:hAnsi="Times New Roman" w:cs="Times New Roman"/>
                <w:b/>
                <w:bCs/>
              </w:rPr>
              <w:t xml:space="preserve"> Wind-induced loads on ground-mounted and ground ballasted systems</w:t>
            </w:r>
            <w:r w:rsidR="005C523D" w:rsidRPr="008459AF">
              <w:rPr>
                <w:rFonts w:ascii="Times New Roman" w:hAnsi="Times New Roman" w:cs="Times New Roman"/>
                <w:b/>
                <w:bCs/>
              </w:rPr>
              <w:t>; (FIU: Ioannis Zisis); [$118,000]</w:t>
            </w:r>
          </w:p>
        </w:tc>
      </w:tr>
      <w:tr w:rsidR="00B27BDA" w:rsidRPr="008459AF" w14:paraId="51A70E5A" w14:textId="77777777" w:rsidTr="00B27BDA">
        <w:tc>
          <w:tcPr>
            <w:tcW w:w="14328" w:type="dxa"/>
          </w:tcPr>
          <w:p w14:paraId="15ED74D0" w14:textId="7673A4EF" w:rsidR="00B27BDA" w:rsidRPr="008459AF" w:rsidRDefault="00B27BDA" w:rsidP="00125ADA">
            <w:pPr>
              <w:tabs>
                <w:tab w:val="left" w:pos="990"/>
              </w:tabs>
              <w:rPr>
                <w:rFonts w:ascii="Times New Roman" w:hAnsi="Times New Roman" w:cs="Times New Roman"/>
                <w:b/>
                <w:bCs/>
                <w:smallCaps/>
              </w:rPr>
            </w:pPr>
            <w:r w:rsidRPr="008459AF">
              <w:rPr>
                <w:rFonts w:ascii="Times New Roman" w:hAnsi="Times New Roman" w:cs="Times New Roman"/>
                <w:b/>
                <w:bCs/>
                <w:smallCaps/>
              </w:rPr>
              <w:t>B.)</w:t>
            </w:r>
            <w:r w:rsidRPr="008459AF">
              <w:rPr>
                <w:rFonts w:ascii="Times New Roman" w:hAnsi="Times New Roman" w:cs="Times New Roman"/>
                <w:b/>
                <w:bCs/>
              </w:rPr>
              <w:t xml:space="preserve"> Assessing the Need to Modernize Water Penetration Resistance Test Procedures</w:t>
            </w:r>
            <w:r w:rsidR="005C523D" w:rsidRPr="008459AF">
              <w:rPr>
                <w:rFonts w:ascii="Times New Roman" w:hAnsi="Times New Roman" w:cs="Times New Roman"/>
                <w:b/>
                <w:bCs/>
              </w:rPr>
              <w:t>;  (</w:t>
            </w:r>
            <w:r w:rsidRPr="008459AF">
              <w:rPr>
                <w:rFonts w:ascii="Times New Roman" w:hAnsi="Times New Roman" w:cs="Times New Roman"/>
                <w:b/>
                <w:bCs/>
              </w:rPr>
              <w:t>UF: Ryan Catarelli</w:t>
            </w:r>
            <w:r w:rsidR="005C523D" w:rsidRPr="008459AF">
              <w:rPr>
                <w:rFonts w:ascii="Times New Roman" w:hAnsi="Times New Roman" w:cs="Times New Roman"/>
                <w:b/>
                <w:bCs/>
              </w:rPr>
              <w:t xml:space="preserve">/Brian Phillips/Forrest </w:t>
            </w:r>
            <w:r w:rsidR="005C523D" w:rsidRPr="008459AF">
              <w:rPr>
                <w:rFonts w:ascii="Times New Roman" w:hAnsi="Times New Roman" w:cs="Times New Roman"/>
                <w:b/>
                <w:bCs/>
              </w:rPr>
              <w:lastRenderedPageBreak/>
              <w:t>Masters); [$90,000 - $120,000]</w:t>
            </w:r>
          </w:p>
        </w:tc>
      </w:tr>
      <w:tr w:rsidR="00B27BDA" w:rsidRPr="008459AF" w14:paraId="4132C737" w14:textId="77777777" w:rsidTr="00B27BDA">
        <w:tc>
          <w:tcPr>
            <w:tcW w:w="14328" w:type="dxa"/>
          </w:tcPr>
          <w:p w14:paraId="10DE74C8" w14:textId="0ADA78DD" w:rsidR="00B27BDA" w:rsidRPr="008459AF" w:rsidRDefault="00B27BDA" w:rsidP="00125ADA">
            <w:pPr>
              <w:tabs>
                <w:tab w:val="left" w:pos="990"/>
              </w:tabs>
              <w:rPr>
                <w:rFonts w:ascii="Times New Roman" w:hAnsi="Times New Roman" w:cs="Times New Roman"/>
                <w:b/>
                <w:bCs/>
                <w:smallCaps/>
              </w:rPr>
            </w:pPr>
            <w:r w:rsidRPr="008459AF">
              <w:rPr>
                <w:rFonts w:ascii="Times New Roman" w:hAnsi="Times New Roman" w:cs="Times New Roman"/>
                <w:b/>
                <w:bCs/>
                <w:smallCaps/>
              </w:rPr>
              <w:lastRenderedPageBreak/>
              <w:t>C.)</w:t>
            </w:r>
            <w:r w:rsidRPr="008459AF">
              <w:rPr>
                <w:rFonts w:ascii="Times New Roman" w:hAnsi="Times New Roman" w:cs="Times New Roman"/>
                <w:b/>
              </w:rPr>
              <w:t xml:space="preserve"> Assessment of Durability Requirements for Concrete Structures in Florida</w:t>
            </w:r>
            <w:r w:rsidR="005C523D" w:rsidRPr="008459AF">
              <w:rPr>
                <w:rFonts w:ascii="Times New Roman" w:hAnsi="Times New Roman" w:cs="Times New Roman"/>
                <w:b/>
              </w:rPr>
              <w:t>; (UF: Christopher Ferraro); [$100,000</w:t>
            </w:r>
            <w:r w:rsidR="00280615" w:rsidRPr="008459AF">
              <w:rPr>
                <w:rFonts w:ascii="Times New Roman" w:hAnsi="Times New Roman" w:cs="Times New Roman"/>
                <w:b/>
              </w:rPr>
              <w:t>]</w:t>
            </w:r>
          </w:p>
        </w:tc>
      </w:tr>
      <w:tr w:rsidR="00B27BDA" w:rsidRPr="008459AF" w14:paraId="3B05D895" w14:textId="77777777" w:rsidTr="00B27BDA">
        <w:tc>
          <w:tcPr>
            <w:tcW w:w="14328" w:type="dxa"/>
          </w:tcPr>
          <w:p w14:paraId="6DA583C3" w14:textId="17824C5C" w:rsidR="00B27BDA" w:rsidRPr="008459AF" w:rsidRDefault="00B27BDA" w:rsidP="00B27BDA">
            <w:pPr>
              <w:rPr>
                <w:rFonts w:ascii="Times New Roman" w:hAnsi="Times New Roman" w:cs="Times New Roman"/>
                <w:b/>
              </w:rPr>
            </w:pPr>
            <w:r w:rsidRPr="008459AF">
              <w:rPr>
                <w:rFonts w:ascii="Times New Roman" w:hAnsi="Times New Roman" w:cs="Times New Roman"/>
                <w:b/>
                <w:bCs/>
                <w:smallCaps/>
              </w:rPr>
              <w:t>D.)</w:t>
            </w:r>
            <w:r w:rsidRPr="008459AF">
              <w:rPr>
                <w:rFonts w:ascii="Times New Roman" w:hAnsi="Times New Roman" w:cs="Times New Roman"/>
                <w:b/>
              </w:rPr>
              <w:t xml:space="preserve"> Assessment of Inspection Reporting and Building Conditions in South Florida (Miami-Dade and Broward Counties) – Phase II</w:t>
            </w:r>
            <w:r w:rsidR="00280615" w:rsidRPr="008459AF">
              <w:rPr>
                <w:rFonts w:ascii="Times New Roman" w:hAnsi="Times New Roman" w:cs="Times New Roman"/>
                <w:b/>
              </w:rPr>
              <w:t xml:space="preserve">; (UF: Jennifer Bridge); [$90,000] </w:t>
            </w:r>
          </w:p>
          <w:p w14:paraId="5411696A" w14:textId="43A4507F" w:rsidR="00B27BDA" w:rsidRPr="008459AF" w:rsidRDefault="00B27BDA" w:rsidP="00125ADA">
            <w:pPr>
              <w:tabs>
                <w:tab w:val="left" w:pos="990"/>
              </w:tabs>
              <w:rPr>
                <w:rFonts w:ascii="Times New Roman" w:hAnsi="Times New Roman" w:cs="Times New Roman"/>
                <w:b/>
                <w:bCs/>
                <w:smallCaps/>
              </w:rPr>
            </w:pPr>
          </w:p>
        </w:tc>
      </w:tr>
      <w:tr w:rsidR="00B27BDA" w:rsidRPr="008459AF" w14:paraId="7D09CB8B" w14:textId="77777777" w:rsidTr="00B27BDA">
        <w:tc>
          <w:tcPr>
            <w:tcW w:w="14328" w:type="dxa"/>
          </w:tcPr>
          <w:p w14:paraId="6A529422" w14:textId="3806EF3D" w:rsidR="00B27BDA" w:rsidRPr="008459AF" w:rsidRDefault="00B27BDA" w:rsidP="00125ADA">
            <w:pPr>
              <w:tabs>
                <w:tab w:val="left" w:pos="990"/>
              </w:tabs>
              <w:rPr>
                <w:rFonts w:ascii="Times New Roman" w:hAnsi="Times New Roman" w:cs="Times New Roman"/>
                <w:b/>
                <w:bCs/>
                <w:smallCaps/>
              </w:rPr>
            </w:pPr>
            <w:r w:rsidRPr="008459AF">
              <w:rPr>
                <w:rFonts w:ascii="Times New Roman" w:hAnsi="Times New Roman" w:cs="Times New Roman"/>
                <w:b/>
                <w:bCs/>
                <w:smallCaps/>
              </w:rPr>
              <w:t>E.)</w:t>
            </w:r>
            <w:r w:rsidRPr="008459AF">
              <w:rPr>
                <w:rFonts w:ascii="Times New Roman" w:hAnsi="Times New Roman" w:cs="Times New Roman"/>
                <w:b/>
                <w:bCs/>
                <w:i/>
                <w:iCs/>
                <w:color w:val="000000"/>
              </w:rPr>
              <w:t xml:space="preserve"> </w:t>
            </w:r>
            <w:r w:rsidRPr="008459AF">
              <w:rPr>
                <w:rFonts w:ascii="Times New Roman" w:hAnsi="Times New Roman" w:cs="Times New Roman"/>
                <w:b/>
                <w:bCs/>
                <w:iCs/>
                <w:color w:val="000000"/>
              </w:rPr>
              <w:t>An Investigation of the Factors Leading to Ridge Vent Failure and Possible Mitigation Solutions</w:t>
            </w:r>
            <w:r w:rsidR="00280615" w:rsidRPr="008459AF">
              <w:rPr>
                <w:rFonts w:ascii="Times New Roman" w:hAnsi="Times New Roman" w:cs="Times New Roman"/>
                <w:b/>
                <w:bCs/>
                <w:iCs/>
                <w:color w:val="000000"/>
              </w:rPr>
              <w:t>; (UNF: Cigdem Akan); [$77,616</w:t>
            </w:r>
            <w:r w:rsidR="006B2A50">
              <w:rPr>
                <w:rFonts w:ascii="Times New Roman" w:hAnsi="Times New Roman" w:cs="Times New Roman"/>
                <w:b/>
                <w:bCs/>
                <w:iCs/>
                <w:color w:val="000000"/>
              </w:rPr>
              <w:t>]</w:t>
            </w:r>
          </w:p>
        </w:tc>
      </w:tr>
      <w:tr w:rsidR="00B27BDA" w:rsidRPr="008459AF" w14:paraId="55E9A942" w14:textId="77777777" w:rsidTr="00B27BDA">
        <w:tc>
          <w:tcPr>
            <w:tcW w:w="14328" w:type="dxa"/>
          </w:tcPr>
          <w:p w14:paraId="7BD2829D" w14:textId="4044BD79" w:rsidR="00B27BDA" w:rsidRPr="008459AF" w:rsidRDefault="00280615" w:rsidP="008459AF">
            <w:pPr>
              <w:pStyle w:val="Default"/>
              <w:rPr>
                <w:b/>
                <w:bCs/>
                <w:smallCaps/>
              </w:rPr>
            </w:pPr>
            <w:r w:rsidRPr="008459AF">
              <w:rPr>
                <w:b/>
                <w:bCs/>
                <w:smallCaps/>
              </w:rPr>
              <w:t xml:space="preserve">F.) </w:t>
            </w:r>
            <w:r w:rsidR="008459AF" w:rsidRPr="008459AF">
              <w:rPr>
                <w:b/>
                <w:bCs/>
                <w:smallCaps/>
              </w:rPr>
              <w:t xml:space="preserve"> </w:t>
            </w:r>
            <w:r w:rsidR="008459AF" w:rsidRPr="008459AF">
              <w:rPr>
                <w:b/>
                <w:bCs/>
              </w:rPr>
              <w:t>Establishing Inspection Periods and Preliminary Recommendations for Preventive Measures for Mid-Rise Buildings Near Coastal and Inland South Florida Environments</w:t>
            </w:r>
            <w:r w:rsidR="008459AF">
              <w:rPr>
                <w:b/>
                <w:bCs/>
              </w:rPr>
              <w:t xml:space="preserve">; (FIU: Atorod Azizinamni); [$125,000] – </w:t>
            </w:r>
            <w:r w:rsidR="008459AF" w:rsidRPr="008459AF">
              <w:rPr>
                <w:b/>
                <w:bCs/>
                <w:color w:val="FF0000"/>
              </w:rPr>
              <w:t>Received After May</w:t>
            </w:r>
            <w:r w:rsidR="008459AF">
              <w:rPr>
                <w:b/>
                <w:bCs/>
                <w:color w:val="FF0000"/>
              </w:rPr>
              <w:t xml:space="preserve"> </w:t>
            </w:r>
            <w:r w:rsidR="008459AF" w:rsidRPr="008459AF">
              <w:rPr>
                <w:b/>
                <w:bCs/>
                <w:color w:val="FF0000"/>
              </w:rPr>
              <w:t>3, 2022</w:t>
            </w:r>
          </w:p>
        </w:tc>
      </w:tr>
    </w:tbl>
    <w:p w14:paraId="2E292B83" w14:textId="77777777" w:rsidR="00C46BE6" w:rsidRDefault="00C46BE6" w:rsidP="00125ADA">
      <w:pPr>
        <w:tabs>
          <w:tab w:val="left" w:pos="990"/>
        </w:tabs>
        <w:spacing w:after="0"/>
        <w:rPr>
          <w:b/>
          <w:bCs/>
          <w:smallCaps/>
          <w:sz w:val="28"/>
          <w:szCs w:val="28"/>
        </w:rPr>
      </w:pPr>
    </w:p>
    <w:p w14:paraId="486DB115" w14:textId="77777777" w:rsidR="00412B64" w:rsidRDefault="00412B64" w:rsidP="00125ADA">
      <w:pPr>
        <w:tabs>
          <w:tab w:val="left" w:pos="990"/>
        </w:tabs>
        <w:spacing w:after="0"/>
        <w:rPr>
          <w:b/>
          <w:bCs/>
          <w:smallCaps/>
          <w:sz w:val="28"/>
          <w:szCs w:val="28"/>
        </w:rPr>
      </w:pPr>
    </w:p>
    <w:p w14:paraId="5C3FBB9B" w14:textId="4029FE98" w:rsidR="00107A28" w:rsidRPr="00507E77" w:rsidRDefault="00107A28" w:rsidP="00EF3576">
      <w:pPr>
        <w:pStyle w:val="Subtitle"/>
        <w:pBdr>
          <w:top w:val="double" w:sz="4" w:space="1" w:color="auto"/>
          <w:left w:val="double" w:sz="4" w:space="4" w:color="auto"/>
          <w:bottom w:val="double" w:sz="4" w:space="1" w:color="auto"/>
          <w:right w:val="double" w:sz="4" w:space="8" w:color="auto"/>
        </w:pBdr>
        <w:shd w:val="clear" w:color="auto" w:fill="CCFFFF"/>
        <w:tabs>
          <w:tab w:val="left" w:pos="990"/>
        </w:tabs>
        <w:spacing w:line="240" w:lineRule="auto"/>
        <w:rPr>
          <w:rFonts w:ascii="Garamond" w:hAnsi="Garamond"/>
          <w:smallCaps/>
          <w:sz w:val="28"/>
          <w:szCs w:val="28"/>
        </w:rPr>
      </w:pPr>
      <w:r w:rsidRPr="00507E77">
        <w:rPr>
          <w:rFonts w:ascii="Garamond" w:hAnsi="Garamond"/>
          <w:smallCaps/>
          <w:sz w:val="28"/>
          <w:szCs w:val="28"/>
        </w:rPr>
        <w:t xml:space="preserve">Prioritization </w:t>
      </w:r>
      <w:r w:rsidR="009526C3" w:rsidRPr="00507E77">
        <w:rPr>
          <w:rFonts w:ascii="Garamond" w:hAnsi="Garamond"/>
          <w:smallCaps/>
          <w:sz w:val="28"/>
          <w:szCs w:val="28"/>
        </w:rPr>
        <w:t>Ranking</w:t>
      </w:r>
      <w:r w:rsidRPr="00507E77">
        <w:rPr>
          <w:rFonts w:ascii="Garamond" w:hAnsi="Garamond"/>
          <w:smallCaps/>
          <w:sz w:val="28"/>
          <w:szCs w:val="28"/>
        </w:rPr>
        <w:t xml:space="preserve"> Scale</w:t>
      </w:r>
      <w:r w:rsidR="00EF3576">
        <w:rPr>
          <w:rFonts w:ascii="Garamond" w:hAnsi="Garamond"/>
          <w:smallCaps/>
          <w:sz w:val="28"/>
          <w:szCs w:val="28"/>
        </w:rPr>
        <w:t>—</w:t>
      </w:r>
      <w:r w:rsidRPr="00CD32C7">
        <w:rPr>
          <w:rFonts w:ascii="Garamond" w:hAnsi="Garamond"/>
          <w:bCs/>
          <w:smallCaps/>
          <w:sz w:val="28"/>
          <w:szCs w:val="28"/>
        </w:rPr>
        <w:t>Scale Range</w:t>
      </w:r>
      <w:r w:rsidRPr="00507E77">
        <w:rPr>
          <w:rFonts w:ascii="Garamond" w:hAnsi="Garamond"/>
          <w:sz w:val="28"/>
          <w:szCs w:val="28"/>
        </w:rPr>
        <w:t xml:space="preserve"> 10 - 1 (10 highest rating to 1 lowest rating)</w:t>
      </w:r>
    </w:p>
    <w:p w14:paraId="140D16C8" w14:textId="77777777" w:rsidR="00107A28" w:rsidRPr="00507E77" w:rsidRDefault="00107A28" w:rsidP="00AB525D">
      <w:pPr>
        <w:pBdr>
          <w:top w:val="double" w:sz="4" w:space="1" w:color="auto"/>
          <w:left w:val="double" w:sz="4" w:space="4" w:color="auto"/>
          <w:bottom w:val="double" w:sz="4" w:space="1" w:color="auto"/>
          <w:right w:val="double" w:sz="4" w:space="8" w:color="auto"/>
        </w:pBdr>
        <w:shd w:val="clear" w:color="auto" w:fill="CCFFFF"/>
        <w:tabs>
          <w:tab w:val="left" w:pos="990"/>
        </w:tabs>
        <w:spacing w:after="60"/>
        <w:rPr>
          <w:b/>
        </w:rPr>
      </w:pPr>
      <w:r w:rsidRPr="00507E77">
        <w:rPr>
          <w:b/>
        </w:rPr>
        <w:t>10</w:t>
      </w:r>
      <w:r w:rsidRPr="00507E77">
        <w:rPr>
          <w:b/>
        </w:rPr>
        <w:tab/>
        <w:t>Highest Level of Priority—Urgent/Critical</w:t>
      </w:r>
      <w:r w:rsidRPr="00507E77">
        <w:rPr>
          <w:b/>
        </w:rPr>
        <w:tab/>
      </w:r>
      <w:r w:rsidRPr="00507E77">
        <w:rPr>
          <w:b/>
        </w:rPr>
        <w:tab/>
        <w:t>5</w:t>
      </w:r>
      <w:r w:rsidRPr="00507E77">
        <w:rPr>
          <w:b/>
        </w:rPr>
        <w:tab/>
        <w:t>Medium Level of Priority</w:t>
      </w:r>
    </w:p>
    <w:p w14:paraId="552FB898" w14:textId="4E7F9C72" w:rsidR="00107A28" w:rsidRPr="00507E77" w:rsidRDefault="00107A28" w:rsidP="00AB525D">
      <w:pPr>
        <w:pBdr>
          <w:top w:val="double" w:sz="4" w:space="1" w:color="auto"/>
          <w:left w:val="double" w:sz="4" w:space="4" w:color="auto"/>
          <w:bottom w:val="double" w:sz="4" w:space="1" w:color="auto"/>
          <w:right w:val="double" w:sz="4" w:space="8" w:color="auto"/>
        </w:pBdr>
        <w:shd w:val="clear" w:color="auto" w:fill="CCFFFF"/>
        <w:tabs>
          <w:tab w:val="left" w:pos="990"/>
        </w:tabs>
        <w:spacing w:after="60"/>
        <w:rPr>
          <w:b/>
        </w:rPr>
      </w:pPr>
      <w:r w:rsidRPr="00507E77">
        <w:rPr>
          <w:b/>
        </w:rPr>
        <w:t xml:space="preserve"> 9</w:t>
      </w:r>
      <w:r w:rsidRPr="00507E77">
        <w:rPr>
          <w:b/>
        </w:rPr>
        <w:tab/>
      </w:r>
      <w:r w:rsidR="00816FD8" w:rsidRPr="00507E77">
        <w:rPr>
          <w:b/>
        </w:rPr>
        <w:t>Very High Level of Priority</w:t>
      </w:r>
      <w:r w:rsidR="00816FD8" w:rsidRPr="00507E77">
        <w:rPr>
          <w:b/>
        </w:rPr>
        <w:tab/>
      </w:r>
      <w:r w:rsidR="00816FD8" w:rsidRPr="00507E77">
        <w:rPr>
          <w:b/>
        </w:rPr>
        <w:tab/>
      </w:r>
      <w:r w:rsidR="00816FD8" w:rsidRPr="00507E77">
        <w:rPr>
          <w:b/>
        </w:rPr>
        <w:tab/>
      </w:r>
      <w:r w:rsidR="00816FD8" w:rsidRPr="00507E77">
        <w:rPr>
          <w:b/>
        </w:rPr>
        <w:tab/>
      </w:r>
      <w:r w:rsidRPr="00507E77">
        <w:rPr>
          <w:b/>
        </w:rPr>
        <w:t>4</w:t>
      </w:r>
      <w:r w:rsidRPr="00507E77">
        <w:rPr>
          <w:b/>
        </w:rPr>
        <w:tab/>
        <w:t>Medium Low Level of Priority</w:t>
      </w:r>
    </w:p>
    <w:p w14:paraId="22C97311" w14:textId="77777777" w:rsidR="00107A28" w:rsidRPr="00507E77" w:rsidRDefault="00107A28" w:rsidP="00AB525D">
      <w:pPr>
        <w:pBdr>
          <w:top w:val="double" w:sz="4" w:space="1" w:color="auto"/>
          <w:left w:val="double" w:sz="4" w:space="4" w:color="auto"/>
          <w:bottom w:val="double" w:sz="4" w:space="1" w:color="auto"/>
          <w:right w:val="double" w:sz="4" w:space="8" w:color="auto"/>
        </w:pBdr>
        <w:shd w:val="clear" w:color="auto" w:fill="CCFFFF"/>
        <w:tabs>
          <w:tab w:val="left" w:pos="990"/>
        </w:tabs>
        <w:spacing w:after="60"/>
        <w:rPr>
          <w:b/>
        </w:rPr>
      </w:pPr>
      <w:r w:rsidRPr="00507E77">
        <w:rPr>
          <w:b/>
        </w:rPr>
        <w:t xml:space="preserve"> 8</w:t>
      </w:r>
      <w:r w:rsidRPr="00507E77">
        <w:rPr>
          <w:b/>
        </w:rPr>
        <w:tab/>
        <w:t>High Level of Priority</w:t>
      </w:r>
      <w:r w:rsidRPr="00507E77">
        <w:rPr>
          <w:b/>
        </w:rPr>
        <w:tab/>
      </w:r>
      <w:r w:rsidRPr="00507E77">
        <w:rPr>
          <w:b/>
        </w:rPr>
        <w:tab/>
      </w:r>
      <w:r w:rsidRPr="00507E77">
        <w:rPr>
          <w:b/>
        </w:rPr>
        <w:tab/>
      </w:r>
      <w:r w:rsidRPr="00507E77">
        <w:rPr>
          <w:b/>
        </w:rPr>
        <w:tab/>
      </w:r>
      <w:r w:rsidRPr="00507E77">
        <w:rPr>
          <w:b/>
        </w:rPr>
        <w:tab/>
        <w:t>3</w:t>
      </w:r>
      <w:r w:rsidRPr="00507E77">
        <w:rPr>
          <w:b/>
        </w:rPr>
        <w:tab/>
        <w:t>Low Level of Priority</w:t>
      </w:r>
    </w:p>
    <w:p w14:paraId="25501078" w14:textId="77777777" w:rsidR="00107A28" w:rsidRPr="00507E77" w:rsidRDefault="00107A28" w:rsidP="00AB525D">
      <w:pPr>
        <w:pBdr>
          <w:top w:val="double" w:sz="4" w:space="1" w:color="auto"/>
          <w:left w:val="double" w:sz="4" w:space="4" w:color="auto"/>
          <w:bottom w:val="double" w:sz="4" w:space="1" w:color="auto"/>
          <w:right w:val="double" w:sz="4" w:space="8" w:color="auto"/>
        </w:pBdr>
        <w:shd w:val="clear" w:color="auto" w:fill="CCFFFF"/>
        <w:tabs>
          <w:tab w:val="left" w:pos="990"/>
        </w:tabs>
        <w:spacing w:after="60"/>
        <w:rPr>
          <w:b/>
        </w:rPr>
      </w:pPr>
      <w:r w:rsidRPr="00507E77">
        <w:rPr>
          <w:b/>
        </w:rPr>
        <w:t xml:space="preserve"> 7</w:t>
      </w:r>
      <w:r w:rsidRPr="00507E77">
        <w:rPr>
          <w:b/>
        </w:rPr>
        <w:tab/>
        <w:t>Medium High Level of Priority</w:t>
      </w:r>
      <w:r w:rsidRPr="00507E77">
        <w:rPr>
          <w:b/>
        </w:rPr>
        <w:tab/>
      </w:r>
      <w:r w:rsidRPr="00507E77">
        <w:rPr>
          <w:b/>
        </w:rPr>
        <w:tab/>
      </w:r>
      <w:r w:rsidRPr="00507E77">
        <w:rPr>
          <w:b/>
        </w:rPr>
        <w:tab/>
      </w:r>
      <w:r w:rsidRPr="00507E77">
        <w:rPr>
          <w:b/>
        </w:rPr>
        <w:tab/>
        <w:t>2</w:t>
      </w:r>
      <w:r w:rsidRPr="00507E77">
        <w:rPr>
          <w:b/>
        </w:rPr>
        <w:tab/>
        <w:t>Very Low Level of Priority</w:t>
      </w:r>
    </w:p>
    <w:p w14:paraId="52B94AFC" w14:textId="23060607" w:rsidR="009526C3" w:rsidRPr="00507E77" w:rsidRDefault="00107A28" w:rsidP="00AB525D">
      <w:pPr>
        <w:pBdr>
          <w:top w:val="double" w:sz="4" w:space="1" w:color="auto"/>
          <w:left w:val="double" w:sz="4" w:space="4" w:color="auto"/>
          <w:bottom w:val="double" w:sz="4" w:space="1" w:color="auto"/>
          <w:right w:val="double" w:sz="4" w:space="8" w:color="auto"/>
        </w:pBdr>
        <w:shd w:val="clear" w:color="auto" w:fill="CCFFFF"/>
        <w:tabs>
          <w:tab w:val="left" w:pos="990"/>
        </w:tabs>
        <w:spacing w:after="60"/>
        <w:rPr>
          <w:b/>
        </w:rPr>
      </w:pPr>
      <w:r w:rsidRPr="00507E77">
        <w:rPr>
          <w:b/>
        </w:rPr>
        <w:t xml:space="preserve"> 6</w:t>
      </w:r>
      <w:r w:rsidRPr="00507E77">
        <w:rPr>
          <w:b/>
        </w:rPr>
        <w:tab/>
        <w:t>Moder</w:t>
      </w:r>
      <w:r w:rsidR="00816FD8" w:rsidRPr="00507E77">
        <w:rPr>
          <w:b/>
        </w:rPr>
        <w:t>ately High Level of Priority</w:t>
      </w:r>
      <w:r w:rsidR="00816FD8" w:rsidRPr="00507E77">
        <w:rPr>
          <w:b/>
        </w:rPr>
        <w:tab/>
      </w:r>
      <w:r w:rsidR="00816FD8" w:rsidRPr="00507E77">
        <w:rPr>
          <w:b/>
        </w:rPr>
        <w:tab/>
      </w:r>
      <w:r w:rsidR="00816FD8" w:rsidRPr="00507E77">
        <w:rPr>
          <w:b/>
        </w:rPr>
        <w:tab/>
      </w:r>
      <w:r w:rsidRPr="00507E77">
        <w:rPr>
          <w:b/>
        </w:rPr>
        <w:t>1</w:t>
      </w:r>
      <w:r w:rsidRPr="00507E77">
        <w:rPr>
          <w:b/>
        </w:rPr>
        <w:tab/>
        <w:t xml:space="preserve">Lowest Possible Priority—Commission Should not </w:t>
      </w:r>
      <w:r w:rsidR="001B6524" w:rsidRPr="00507E77">
        <w:rPr>
          <w:b/>
        </w:rPr>
        <w:t>Fund</w:t>
      </w:r>
    </w:p>
    <w:tbl>
      <w:tblPr>
        <w:tblStyle w:val="TableGrid"/>
        <w:tblW w:w="14418" w:type="dxa"/>
        <w:tblLayout w:type="fixed"/>
        <w:tblLook w:val="04A0" w:firstRow="1" w:lastRow="0" w:firstColumn="1" w:lastColumn="0" w:noHBand="0" w:noVBand="1"/>
      </w:tblPr>
      <w:tblGrid>
        <w:gridCol w:w="5238"/>
        <w:gridCol w:w="900"/>
        <w:gridCol w:w="729"/>
        <w:gridCol w:w="729"/>
        <w:gridCol w:w="729"/>
        <w:gridCol w:w="729"/>
        <w:gridCol w:w="729"/>
        <w:gridCol w:w="729"/>
        <w:gridCol w:w="729"/>
        <w:gridCol w:w="729"/>
        <w:gridCol w:w="729"/>
        <w:gridCol w:w="729"/>
        <w:gridCol w:w="990"/>
      </w:tblGrid>
      <w:tr w:rsidR="00107A28" w:rsidRPr="00507E77" w14:paraId="3197213E" w14:textId="77777777" w:rsidTr="00E447F1">
        <w:trPr>
          <w:trHeight w:val="630"/>
        </w:trPr>
        <w:tc>
          <w:tcPr>
            <w:tcW w:w="5238" w:type="dxa"/>
            <w:shd w:val="clear" w:color="auto" w:fill="4F81BD" w:themeFill="accent1"/>
          </w:tcPr>
          <w:p w14:paraId="5E3440AC" w14:textId="06D72C97" w:rsidR="00107A28" w:rsidRPr="00507E77" w:rsidRDefault="00C46BE6" w:rsidP="000D7F24">
            <w:pPr>
              <w:tabs>
                <w:tab w:val="left" w:pos="990"/>
              </w:tabs>
              <w:rPr>
                <w:rFonts w:ascii="Garamond" w:hAnsi="Garamond"/>
                <w:b/>
                <w:bCs/>
                <w:smallCaps/>
                <w:color w:val="FFFFFF" w:themeColor="background1"/>
                <w:sz w:val="26"/>
                <w:szCs w:val="26"/>
              </w:rPr>
            </w:pPr>
            <w:r>
              <w:rPr>
                <w:rFonts w:ascii="Garamond" w:hAnsi="Garamond"/>
                <w:b/>
                <w:bCs/>
                <w:smallCaps/>
                <w:color w:val="FFFFFF" w:themeColor="background1"/>
                <w:sz w:val="26"/>
                <w:szCs w:val="26"/>
              </w:rPr>
              <w:t>Proposed Research Topics</w:t>
            </w:r>
          </w:p>
        </w:tc>
        <w:tc>
          <w:tcPr>
            <w:tcW w:w="900" w:type="dxa"/>
            <w:shd w:val="clear" w:color="auto" w:fill="4F81BD" w:themeFill="accent1"/>
          </w:tcPr>
          <w:p w14:paraId="15A1DF6D" w14:textId="77777777" w:rsidR="00107A28" w:rsidRPr="00507E77" w:rsidRDefault="00107A28" w:rsidP="000D7F24">
            <w:pPr>
              <w:tabs>
                <w:tab w:val="left" w:pos="990"/>
              </w:tabs>
              <w:jc w:val="center"/>
              <w:rPr>
                <w:rFonts w:ascii="Garamond" w:hAnsi="Garamond"/>
                <w:b/>
                <w:bCs/>
                <w:smallCaps/>
                <w:color w:val="FFFFFF" w:themeColor="background1"/>
                <w:sz w:val="26"/>
                <w:szCs w:val="26"/>
              </w:rPr>
            </w:pPr>
            <w:r w:rsidRPr="00507E77">
              <w:rPr>
                <w:rFonts w:ascii="Garamond" w:hAnsi="Garamond"/>
                <w:b/>
                <w:bCs/>
                <w:smallCaps/>
                <w:color w:val="FFFFFF" w:themeColor="background1"/>
                <w:sz w:val="26"/>
                <w:szCs w:val="26"/>
              </w:rPr>
              <w:t>Rank</w:t>
            </w:r>
          </w:p>
        </w:tc>
        <w:tc>
          <w:tcPr>
            <w:tcW w:w="729" w:type="dxa"/>
            <w:shd w:val="clear" w:color="auto" w:fill="4F81BD" w:themeFill="accent1"/>
          </w:tcPr>
          <w:p w14:paraId="7E05235F" w14:textId="77777777" w:rsidR="00107A28" w:rsidRPr="00507E77" w:rsidRDefault="00107A28" w:rsidP="000D7F24">
            <w:pPr>
              <w:tabs>
                <w:tab w:val="left" w:pos="990"/>
              </w:tabs>
              <w:jc w:val="center"/>
              <w:rPr>
                <w:rFonts w:ascii="Garamond" w:hAnsi="Garamond"/>
                <w:b/>
                <w:bCs/>
                <w:smallCaps/>
                <w:color w:val="FFFFFF" w:themeColor="background1"/>
                <w:sz w:val="26"/>
                <w:szCs w:val="26"/>
              </w:rPr>
            </w:pPr>
            <w:r w:rsidRPr="00507E77">
              <w:rPr>
                <w:rFonts w:ascii="Garamond" w:hAnsi="Garamond"/>
                <w:b/>
                <w:bCs/>
                <w:smallCaps/>
                <w:color w:val="FFFFFF" w:themeColor="background1"/>
                <w:sz w:val="26"/>
                <w:szCs w:val="26"/>
              </w:rPr>
              <w:t>10</w:t>
            </w:r>
          </w:p>
        </w:tc>
        <w:tc>
          <w:tcPr>
            <w:tcW w:w="729" w:type="dxa"/>
            <w:shd w:val="clear" w:color="auto" w:fill="4F81BD" w:themeFill="accent1"/>
          </w:tcPr>
          <w:p w14:paraId="262AFE5B"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9</w:t>
            </w:r>
          </w:p>
        </w:tc>
        <w:tc>
          <w:tcPr>
            <w:tcW w:w="729" w:type="dxa"/>
            <w:shd w:val="clear" w:color="auto" w:fill="4F81BD" w:themeFill="accent1"/>
          </w:tcPr>
          <w:p w14:paraId="5A6CB2DD"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8</w:t>
            </w:r>
          </w:p>
        </w:tc>
        <w:tc>
          <w:tcPr>
            <w:tcW w:w="729" w:type="dxa"/>
            <w:shd w:val="clear" w:color="auto" w:fill="4F81BD" w:themeFill="accent1"/>
          </w:tcPr>
          <w:p w14:paraId="17169EE8"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7</w:t>
            </w:r>
          </w:p>
        </w:tc>
        <w:tc>
          <w:tcPr>
            <w:tcW w:w="729" w:type="dxa"/>
            <w:shd w:val="clear" w:color="auto" w:fill="4F81BD" w:themeFill="accent1"/>
          </w:tcPr>
          <w:p w14:paraId="59DADCDB"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6</w:t>
            </w:r>
          </w:p>
        </w:tc>
        <w:tc>
          <w:tcPr>
            <w:tcW w:w="729" w:type="dxa"/>
            <w:shd w:val="clear" w:color="auto" w:fill="4F81BD" w:themeFill="accent1"/>
          </w:tcPr>
          <w:p w14:paraId="3C57AEB3"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5</w:t>
            </w:r>
          </w:p>
        </w:tc>
        <w:tc>
          <w:tcPr>
            <w:tcW w:w="729" w:type="dxa"/>
            <w:shd w:val="clear" w:color="auto" w:fill="4F81BD" w:themeFill="accent1"/>
          </w:tcPr>
          <w:p w14:paraId="0AD5ED82"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4</w:t>
            </w:r>
          </w:p>
        </w:tc>
        <w:tc>
          <w:tcPr>
            <w:tcW w:w="729" w:type="dxa"/>
            <w:shd w:val="clear" w:color="auto" w:fill="4F81BD" w:themeFill="accent1"/>
          </w:tcPr>
          <w:p w14:paraId="4C055DF5"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3</w:t>
            </w:r>
          </w:p>
        </w:tc>
        <w:tc>
          <w:tcPr>
            <w:tcW w:w="729" w:type="dxa"/>
            <w:shd w:val="clear" w:color="auto" w:fill="4F81BD" w:themeFill="accent1"/>
          </w:tcPr>
          <w:p w14:paraId="04F24FA8"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2</w:t>
            </w:r>
          </w:p>
        </w:tc>
        <w:tc>
          <w:tcPr>
            <w:tcW w:w="729" w:type="dxa"/>
            <w:shd w:val="clear" w:color="auto" w:fill="4F81BD" w:themeFill="accent1"/>
          </w:tcPr>
          <w:p w14:paraId="5EE696BA" w14:textId="77777777" w:rsidR="00107A28" w:rsidRPr="00507E77" w:rsidRDefault="00107A28" w:rsidP="000D7F24">
            <w:pPr>
              <w:tabs>
                <w:tab w:val="left" w:pos="990"/>
              </w:tabs>
              <w:jc w:val="center"/>
              <w:rPr>
                <w:rFonts w:ascii="Garamond" w:hAnsi="Garamond"/>
                <w:b/>
                <w:color w:val="FFFFFF" w:themeColor="background1"/>
                <w:sz w:val="26"/>
                <w:szCs w:val="26"/>
              </w:rPr>
            </w:pPr>
            <w:r w:rsidRPr="00507E77">
              <w:rPr>
                <w:rFonts w:ascii="Garamond" w:hAnsi="Garamond"/>
                <w:b/>
                <w:color w:val="FFFFFF" w:themeColor="background1"/>
                <w:sz w:val="26"/>
                <w:szCs w:val="26"/>
              </w:rPr>
              <w:t>1</w:t>
            </w:r>
          </w:p>
        </w:tc>
        <w:tc>
          <w:tcPr>
            <w:tcW w:w="990" w:type="dxa"/>
            <w:shd w:val="clear" w:color="auto" w:fill="4F81BD" w:themeFill="accent1"/>
          </w:tcPr>
          <w:p w14:paraId="4F314E56" w14:textId="1A3C5762" w:rsidR="00107A28" w:rsidRPr="00507E77" w:rsidRDefault="007A0D31" w:rsidP="000D7F24">
            <w:pPr>
              <w:tabs>
                <w:tab w:val="left" w:pos="990"/>
              </w:tabs>
              <w:jc w:val="center"/>
              <w:rPr>
                <w:rFonts w:ascii="Garamond" w:hAnsi="Garamond"/>
                <w:b/>
                <w:bCs/>
                <w:smallCaps/>
                <w:color w:val="FFFFFF" w:themeColor="background1"/>
                <w:sz w:val="26"/>
                <w:szCs w:val="26"/>
              </w:rPr>
            </w:pPr>
            <w:r w:rsidRPr="00507E77">
              <w:rPr>
                <w:rFonts w:ascii="Garamond" w:hAnsi="Garamond"/>
                <w:b/>
                <w:bCs/>
                <w:smallCaps/>
                <w:color w:val="FFFFFF" w:themeColor="background1"/>
                <w:sz w:val="26"/>
                <w:szCs w:val="26"/>
              </w:rPr>
              <w:t>Raw Score</w:t>
            </w:r>
          </w:p>
        </w:tc>
      </w:tr>
      <w:tr w:rsidR="00125ADA" w:rsidRPr="00507E77" w14:paraId="7EA5C50A" w14:textId="77777777" w:rsidTr="00EC6665">
        <w:trPr>
          <w:trHeight w:val="539"/>
        </w:trPr>
        <w:tc>
          <w:tcPr>
            <w:tcW w:w="5238" w:type="dxa"/>
            <w:shd w:val="clear" w:color="auto" w:fill="EEECE1" w:themeFill="background2"/>
            <w:vAlign w:val="center"/>
          </w:tcPr>
          <w:p w14:paraId="0DE325DD" w14:textId="041A8948" w:rsidR="00142D79" w:rsidRPr="00507E77" w:rsidRDefault="006B2A50" w:rsidP="00424F2E">
            <w:pPr>
              <w:pStyle w:val="Default"/>
              <w:rPr>
                <w:rFonts w:ascii="Garamond" w:hAnsi="Garamond"/>
                <w:b/>
              </w:rPr>
            </w:pPr>
            <w:r>
              <w:rPr>
                <w:rFonts w:ascii="Garamond" w:eastAsia="Times New Roman" w:hAnsi="Garamond"/>
                <w:b/>
                <w:bCs/>
              </w:rPr>
              <w:t>A</w:t>
            </w:r>
            <w:r w:rsidR="00125ADA" w:rsidRPr="00507E77">
              <w:rPr>
                <w:rFonts w:ascii="Garamond" w:eastAsia="Times New Roman" w:hAnsi="Garamond"/>
                <w:b/>
                <w:bCs/>
              </w:rPr>
              <w:t xml:space="preserve">.) </w:t>
            </w:r>
            <w:r w:rsidR="00424F2E">
              <w:t xml:space="preserve"> </w:t>
            </w:r>
            <w:r w:rsidR="00424F2E" w:rsidRPr="00844969">
              <w:rPr>
                <w:b/>
                <w:bCs/>
                <w:sz w:val="22"/>
                <w:szCs w:val="22"/>
              </w:rPr>
              <w:t>Wind-induced loads on ground-mounted and ground ballasted systems</w:t>
            </w:r>
            <w:r w:rsidRPr="008459AF">
              <w:rPr>
                <w:b/>
                <w:bCs/>
              </w:rPr>
              <w:t>; (FIU: Ioannis Zisis); [$118,000]</w:t>
            </w:r>
          </w:p>
        </w:tc>
        <w:tc>
          <w:tcPr>
            <w:tcW w:w="900" w:type="dxa"/>
            <w:shd w:val="clear" w:color="auto" w:fill="EEECE1" w:themeFill="background2"/>
          </w:tcPr>
          <w:p w14:paraId="5E3036B2"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7AAF3954"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2F375695"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790170C3"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474FD27D"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5C4AE3BE"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400FE42A"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3CB0E790"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69B06404"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2EF9CC17"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401751A4" w14:textId="77777777" w:rsidR="00125ADA" w:rsidRPr="00507E77" w:rsidRDefault="00125ADA" w:rsidP="000D7F24">
            <w:pPr>
              <w:tabs>
                <w:tab w:val="left" w:pos="990"/>
              </w:tabs>
              <w:contextualSpacing/>
              <w:jc w:val="center"/>
              <w:rPr>
                <w:rFonts w:ascii="Garamond" w:hAnsi="Garamond"/>
              </w:rPr>
            </w:pPr>
          </w:p>
        </w:tc>
        <w:tc>
          <w:tcPr>
            <w:tcW w:w="990" w:type="dxa"/>
            <w:shd w:val="clear" w:color="auto" w:fill="EEECE1" w:themeFill="background2"/>
          </w:tcPr>
          <w:p w14:paraId="59A3DEC3" w14:textId="77777777" w:rsidR="00125ADA" w:rsidRPr="00507E77" w:rsidRDefault="00125ADA" w:rsidP="000D7F24">
            <w:pPr>
              <w:tabs>
                <w:tab w:val="left" w:pos="990"/>
              </w:tabs>
              <w:jc w:val="center"/>
              <w:rPr>
                <w:rFonts w:ascii="Garamond" w:hAnsi="Garamond"/>
              </w:rPr>
            </w:pPr>
          </w:p>
        </w:tc>
      </w:tr>
      <w:tr w:rsidR="00125ADA" w:rsidRPr="00507E77" w14:paraId="45A45B28" w14:textId="77777777" w:rsidTr="00EC6665">
        <w:trPr>
          <w:trHeight w:val="630"/>
        </w:trPr>
        <w:tc>
          <w:tcPr>
            <w:tcW w:w="5238" w:type="dxa"/>
            <w:shd w:val="clear" w:color="auto" w:fill="EEECE1" w:themeFill="background2"/>
            <w:vAlign w:val="center"/>
          </w:tcPr>
          <w:p w14:paraId="4DF87FC6" w14:textId="734C43FB" w:rsidR="00142D79" w:rsidRPr="00844969" w:rsidRDefault="006B2A50" w:rsidP="00844969">
            <w:pPr>
              <w:pStyle w:val="Default"/>
              <w:rPr>
                <w:rFonts w:ascii="Garamond" w:hAnsi="Garamond"/>
                <w:b/>
              </w:rPr>
            </w:pPr>
            <w:r>
              <w:rPr>
                <w:rFonts w:ascii="Garamond" w:eastAsia="Times New Roman" w:hAnsi="Garamond"/>
                <w:b/>
                <w:bCs/>
              </w:rPr>
              <w:t>B</w:t>
            </w:r>
            <w:r w:rsidR="00125ADA" w:rsidRPr="00507E77">
              <w:rPr>
                <w:rFonts w:ascii="Garamond" w:eastAsia="Times New Roman" w:hAnsi="Garamond"/>
                <w:b/>
                <w:bCs/>
              </w:rPr>
              <w:t xml:space="preserve">.) </w:t>
            </w:r>
            <w:r w:rsidR="00844969">
              <w:t xml:space="preserve"> </w:t>
            </w:r>
            <w:r w:rsidR="00844969" w:rsidRPr="00844969">
              <w:rPr>
                <w:b/>
                <w:bCs/>
                <w:sz w:val="22"/>
                <w:szCs w:val="22"/>
              </w:rPr>
              <w:t>Assessing the Need to Modernize Water Penetration Resistance Test Procedures</w:t>
            </w:r>
            <w:r>
              <w:rPr>
                <w:b/>
                <w:bCs/>
                <w:sz w:val="22"/>
                <w:szCs w:val="22"/>
              </w:rPr>
              <w:t xml:space="preserve">; </w:t>
            </w:r>
            <w:r w:rsidRPr="008459AF">
              <w:rPr>
                <w:b/>
                <w:bCs/>
              </w:rPr>
              <w:t>(UF: Ryan Catarelli/Brian Phillips/Forrest Masters); [$90,000 - $120,000]</w:t>
            </w:r>
          </w:p>
        </w:tc>
        <w:tc>
          <w:tcPr>
            <w:tcW w:w="900" w:type="dxa"/>
            <w:shd w:val="clear" w:color="auto" w:fill="EEECE1" w:themeFill="background2"/>
          </w:tcPr>
          <w:p w14:paraId="514AB954"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3AB4A2A8"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3ED0EA63"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6FBCAC42"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34294714"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2E98A1B5"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3080759F"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4B2D1892"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1C1481A4"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59BE39EF"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71C158FE" w14:textId="77777777" w:rsidR="00125ADA" w:rsidRPr="00507E77" w:rsidRDefault="00125ADA" w:rsidP="000D7F24">
            <w:pPr>
              <w:tabs>
                <w:tab w:val="left" w:pos="990"/>
              </w:tabs>
              <w:contextualSpacing/>
              <w:jc w:val="center"/>
              <w:rPr>
                <w:rFonts w:ascii="Garamond" w:hAnsi="Garamond"/>
              </w:rPr>
            </w:pPr>
          </w:p>
        </w:tc>
        <w:tc>
          <w:tcPr>
            <w:tcW w:w="990" w:type="dxa"/>
            <w:shd w:val="clear" w:color="auto" w:fill="EEECE1" w:themeFill="background2"/>
          </w:tcPr>
          <w:p w14:paraId="217FF9F1" w14:textId="77777777" w:rsidR="00125ADA" w:rsidRPr="00507E77" w:rsidRDefault="00125ADA" w:rsidP="000D7F24">
            <w:pPr>
              <w:tabs>
                <w:tab w:val="left" w:pos="990"/>
              </w:tabs>
              <w:jc w:val="center"/>
              <w:rPr>
                <w:rFonts w:ascii="Garamond" w:hAnsi="Garamond"/>
              </w:rPr>
            </w:pPr>
          </w:p>
        </w:tc>
      </w:tr>
      <w:tr w:rsidR="00844969" w:rsidRPr="00507E77" w14:paraId="5AAFB341" w14:textId="77777777" w:rsidTr="00EC6665">
        <w:trPr>
          <w:trHeight w:val="530"/>
        </w:trPr>
        <w:tc>
          <w:tcPr>
            <w:tcW w:w="5238" w:type="dxa"/>
            <w:shd w:val="clear" w:color="auto" w:fill="EEECE1" w:themeFill="background2"/>
            <w:vAlign w:val="center"/>
          </w:tcPr>
          <w:p w14:paraId="17E45C3B" w14:textId="7CFDDAF4" w:rsidR="00844969" w:rsidRDefault="006B2A50" w:rsidP="00844969">
            <w:pPr>
              <w:rPr>
                <w:rFonts w:ascii="Times" w:hAnsi="Times"/>
                <w:b/>
                <w:sz w:val="28"/>
                <w:szCs w:val="28"/>
              </w:rPr>
            </w:pPr>
            <w:r>
              <w:rPr>
                <w:rFonts w:ascii="Garamond" w:eastAsia="Times New Roman" w:hAnsi="Garamond"/>
                <w:b/>
                <w:bCs/>
              </w:rPr>
              <w:t>C</w:t>
            </w:r>
            <w:r w:rsidR="00844969" w:rsidRPr="00507E77">
              <w:rPr>
                <w:rFonts w:ascii="Garamond" w:eastAsia="Times New Roman" w:hAnsi="Garamond"/>
                <w:b/>
                <w:bCs/>
              </w:rPr>
              <w:t xml:space="preserve">.) </w:t>
            </w:r>
            <w:bookmarkStart w:id="1" w:name="_Hlk100832278"/>
            <w:r w:rsidR="00844969" w:rsidRPr="00844969">
              <w:rPr>
                <w:rFonts w:ascii="Times" w:hAnsi="Times"/>
                <w:b/>
                <w:sz w:val="22"/>
                <w:szCs w:val="22"/>
              </w:rPr>
              <w:t>Assessment of Durability Requirements for Concrete Structures in Florida</w:t>
            </w:r>
            <w:r w:rsidRPr="008459AF">
              <w:rPr>
                <w:rFonts w:ascii="Times New Roman" w:hAnsi="Times New Roman" w:cs="Times New Roman"/>
                <w:b/>
              </w:rPr>
              <w:t>; (UF: Christopher Ferraro); [$100,000]</w:t>
            </w:r>
          </w:p>
          <w:bookmarkEnd w:id="1"/>
          <w:p w14:paraId="09B75A77" w14:textId="77777777" w:rsidR="00844969" w:rsidRDefault="00844969" w:rsidP="00844969">
            <w:pPr>
              <w:rPr>
                <w:rFonts w:eastAsia="Times New Roman"/>
                <w:b/>
                <w:bCs/>
              </w:rPr>
            </w:pPr>
          </w:p>
        </w:tc>
        <w:tc>
          <w:tcPr>
            <w:tcW w:w="900" w:type="dxa"/>
            <w:shd w:val="clear" w:color="auto" w:fill="EEECE1" w:themeFill="background2"/>
          </w:tcPr>
          <w:p w14:paraId="5A164FFC"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25075EB3"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26C8BEF0"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7E51C2B8"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21A7FC44"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44857413"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4EC2DFA8"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250B194F"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35D6A70B"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06D32572" w14:textId="77777777" w:rsidR="00844969" w:rsidRPr="00507E77" w:rsidRDefault="00844969" w:rsidP="000D7F24">
            <w:pPr>
              <w:tabs>
                <w:tab w:val="left" w:pos="990"/>
              </w:tabs>
              <w:contextualSpacing/>
              <w:jc w:val="center"/>
            </w:pPr>
          </w:p>
        </w:tc>
        <w:tc>
          <w:tcPr>
            <w:tcW w:w="729" w:type="dxa"/>
            <w:shd w:val="clear" w:color="auto" w:fill="EEECE1" w:themeFill="background2"/>
          </w:tcPr>
          <w:p w14:paraId="6D502EB9" w14:textId="77777777" w:rsidR="00844969" w:rsidRPr="00507E77" w:rsidRDefault="00844969" w:rsidP="000D7F24">
            <w:pPr>
              <w:tabs>
                <w:tab w:val="left" w:pos="990"/>
              </w:tabs>
              <w:contextualSpacing/>
              <w:jc w:val="center"/>
            </w:pPr>
          </w:p>
        </w:tc>
        <w:tc>
          <w:tcPr>
            <w:tcW w:w="990" w:type="dxa"/>
            <w:shd w:val="clear" w:color="auto" w:fill="EEECE1" w:themeFill="background2"/>
          </w:tcPr>
          <w:p w14:paraId="381D64C5" w14:textId="77777777" w:rsidR="00844969" w:rsidRPr="00507E77" w:rsidRDefault="00844969" w:rsidP="000D7F24">
            <w:pPr>
              <w:tabs>
                <w:tab w:val="left" w:pos="990"/>
              </w:tabs>
              <w:jc w:val="center"/>
            </w:pPr>
          </w:p>
        </w:tc>
      </w:tr>
      <w:tr w:rsidR="00125ADA" w:rsidRPr="00507E77" w14:paraId="69135C98" w14:textId="77777777" w:rsidTr="00EC6665">
        <w:trPr>
          <w:trHeight w:val="530"/>
        </w:trPr>
        <w:tc>
          <w:tcPr>
            <w:tcW w:w="5238" w:type="dxa"/>
            <w:shd w:val="clear" w:color="auto" w:fill="EEECE1" w:themeFill="background2"/>
            <w:vAlign w:val="center"/>
          </w:tcPr>
          <w:p w14:paraId="60545DF8" w14:textId="77777777" w:rsidR="006B2A50" w:rsidRPr="008459AF" w:rsidRDefault="006B2A50" w:rsidP="006B2A50">
            <w:pPr>
              <w:rPr>
                <w:rFonts w:ascii="Times New Roman" w:hAnsi="Times New Roman" w:cs="Times New Roman"/>
                <w:b/>
              </w:rPr>
            </w:pPr>
            <w:r>
              <w:rPr>
                <w:rFonts w:ascii="Garamond" w:eastAsia="Times New Roman" w:hAnsi="Garamond"/>
                <w:b/>
                <w:bCs/>
              </w:rPr>
              <w:t>D</w:t>
            </w:r>
            <w:r w:rsidR="00125ADA" w:rsidRPr="00507E77">
              <w:rPr>
                <w:rFonts w:ascii="Garamond" w:eastAsia="Times New Roman" w:hAnsi="Garamond"/>
                <w:b/>
                <w:bCs/>
              </w:rPr>
              <w:t xml:space="preserve">.) </w:t>
            </w:r>
            <w:r w:rsidR="00844969" w:rsidRPr="00844969">
              <w:rPr>
                <w:rFonts w:ascii="Times" w:hAnsi="Times"/>
                <w:b/>
                <w:sz w:val="22"/>
                <w:szCs w:val="22"/>
              </w:rPr>
              <w:t xml:space="preserve">Assessment of Inspection Reporting and Building Conditions in South Florida (Miami-Dade and </w:t>
            </w:r>
            <w:r w:rsidR="00844969" w:rsidRPr="00844969">
              <w:rPr>
                <w:rFonts w:ascii="Times" w:hAnsi="Times"/>
                <w:b/>
                <w:sz w:val="22"/>
                <w:szCs w:val="22"/>
              </w:rPr>
              <w:lastRenderedPageBreak/>
              <w:t>Broward Counties) – Phase II</w:t>
            </w:r>
            <w:r w:rsidRPr="008459AF">
              <w:rPr>
                <w:rFonts w:ascii="Times New Roman" w:hAnsi="Times New Roman" w:cs="Times New Roman"/>
                <w:b/>
              </w:rPr>
              <w:t xml:space="preserve">; (UF: Jennifer Bridge); [$90,000] </w:t>
            </w:r>
          </w:p>
          <w:p w14:paraId="219874E9" w14:textId="7AC3BB5A" w:rsidR="00844969" w:rsidRPr="00844969" w:rsidRDefault="00844969" w:rsidP="00844969">
            <w:pPr>
              <w:rPr>
                <w:rFonts w:ascii="Times" w:hAnsi="Times"/>
                <w:b/>
                <w:sz w:val="22"/>
                <w:szCs w:val="22"/>
              </w:rPr>
            </w:pPr>
          </w:p>
          <w:p w14:paraId="76A84AC1" w14:textId="6B517781" w:rsidR="00125ADA" w:rsidRPr="00FF09A2" w:rsidRDefault="00125ADA" w:rsidP="00844969">
            <w:pPr>
              <w:tabs>
                <w:tab w:val="left" w:pos="990"/>
              </w:tabs>
              <w:ind w:left="270" w:hanging="270"/>
              <w:contextualSpacing/>
              <w:rPr>
                <w:rFonts w:ascii="Garamond" w:eastAsia="Times New Roman" w:hAnsi="Garamond"/>
                <w:b/>
                <w:bCs/>
              </w:rPr>
            </w:pPr>
          </w:p>
        </w:tc>
        <w:tc>
          <w:tcPr>
            <w:tcW w:w="900" w:type="dxa"/>
            <w:shd w:val="clear" w:color="auto" w:fill="EEECE1" w:themeFill="background2"/>
          </w:tcPr>
          <w:p w14:paraId="3148C33A"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4F765E50"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0B0CFF87"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0CB39711"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60B7236B"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6CD69B35"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000D2A35"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1418E0BD"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19726FF5"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563DBB1A" w14:textId="77777777" w:rsidR="00125ADA" w:rsidRPr="00507E77" w:rsidRDefault="00125ADA" w:rsidP="000D7F24">
            <w:pPr>
              <w:tabs>
                <w:tab w:val="left" w:pos="990"/>
              </w:tabs>
              <w:contextualSpacing/>
              <w:jc w:val="center"/>
              <w:rPr>
                <w:rFonts w:ascii="Garamond" w:hAnsi="Garamond"/>
              </w:rPr>
            </w:pPr>
          </w:p>
        </w:tc>
        <w:tc>
          <w:tcPr>
            <w:tcW w:w="729" w:type="dxa"/>
            <w:shd w:val="clear" w:color="auto" w:fill="EEECE1" w:themeFill="background2"/>
          </w:tcPr>
          <w:p w14:paraId="193FA577" w14:textId="77777777" w:rsidR="00125ADA" w:rsidRPr="00507E77" w:rsidRDefault="00125ADA" w:rsidP="000D7F24">
            <w:pPr>
              <w:tabs>
                <w:tab w:val="left" w:pos="990"/>
              </w:tabs>
              <w:contextualSpacing/>
              <w:jc w:val="center"/>
              <w:rPr>
                <w:rFonts w:ascii="Garamond" w:hAnsi="Garamond"/>
              </w:rPr>
            </w:pPr>
          </w:p>
        </w:tc>
        <w:tc>
          <w:tcPr>
            <w:tcW w:w="990" w:type="dxa"/>
            <w:shd w:val="clear" w:color="auto" w:fill="EEECE1" w:themeFill="background2"/>
          </w:tcPr>
          <w:p w14:paraId="39BB7F67" w14:textId="77777777" w:rsidR="00125ADA" w:rsidRPr="00507E77" w:rsidRDefault="00125ADA" w:rsidP="000D7F24">
            <w:pPr>
              <w:tabs>
                <w:tab w:val="left" w:pos="990"/>
              </w:tabs>
              <w:jc w:val="center"/>
              <w:rPr>
                <w:rFonts w:ascii="Garamond" w:hAnsi="Garamond"/>
              </w:rPr>
            </w:pPr>
          </w:p>
        </w:tc>
      </w:tr>
      <w:tr w:rsidR="0085235B" w:rsidRPr="00507E77" w14:paraId="224B791F" w14:textId="77777777" w:rsidTr="00EC6665">
        <w:trPr>
          <w:trHeight w:val="530"/>
        </w:trPr>
        <w:tc>
          <w:tcPr>
            <w:tcW w:w="5238" w:type="dxa"/>
            <w:shd w:val="clear" w:color="auto" w:fill="EEECE1" w:themeFill="background2"/>
            <w:vAlign w:val="center"/>
          </w:tcPr>
          <w:p w14:paraId="236A9373" w14:textId="1EAEEC32" w:rsidR="0085235B" w:rsidRPr="00507E77" w:rsidRDefault="006B2A50" w:rsidP="00844969">
            <w:pPr>
              <w:rPr>
                <w:rFonts w:eastAsia="Times New Roman"/>
                <w:b/>
                <w:bCs/>
              </w:rPr>
            </w:pPr>
            <w:r>
              <w:rPr>
                <w:rFonts w:eastAsia="Times New Roman"/>
                <w:b/>
                <w:bCs/>
              </w:rPr>
              <w:lastRenderedPageBreak/>
              <w:t>E</w:t>
            </w:r>
            <w:r w:rsidR="0085235B">
              <w:rPr>
                <w:rFonts w:eastAsia="Times New Roman"/>
                <w:b/>
                <w:bCs/>
              </w:rPr>
              <w:t xml:space="preserve">.) </w:t>
            </w:r>
            <w:r w:rsidR="00844969" w:rsidRPr="00844969">
              <w:rPr>
                <w:rFonts w:ascii="Calibri" w:hAnsi="Calibri" w:cs="Calibri"/>
                <w:color w:val="000000"/>
              </w:rPr>
              <w:t xml:space="preserve"> </w:t>
            </w:r>
            <w:r w:rsidR="00844969" w:rsidRPr="006B2A50">
              <w:rPr>
                <w:rFonts w:ascii="Calibri" w:hAnsi="Calibri" w:cs="Calibri"/>
                <w:b/>
                <w:bCs/>
                <w:iCs/>
                <w:color w:val="000000"/>
                <w:sz w:val="22"/>
                <w:szCs w:val="22"/>
              </w:rPr>
              <w:t>An Investigation of the Factors Leading to Ridge Vent Failure and Possible Mitigation Solutions</w:t>
            </w:r>
            <w:r w:rsidRPr="008459AF">
              <w:rPr>
                <w:rFonts w:ascii="Times New Roman" w:hAnsi="Times New Roman" w:cs="Times New Roman"/>
                <w:b/>
                <w:bCs/>
                <w:iCs/>
                <w:color w:val="000000"/>
              </w:rPr>
              <w:t>; (UNF: Cigdem Akan); [$77,616</w:t>
            </w:r>
            <w:r>
              <w:rPr>
                <w:rFonts w:ascii="Times New Roman" w:hAnsi="Times New Roman" w:cs="Times New Roman"/>
                <w:b/>
                <w:bCs/>
                <w:iCs/>
                <w:color w:val="000000"/>
              </w:rPr>
              <w:t>]</w:t>
            </w:r>
          </w:p>
        </w:tc>
        <w:tc>
          <w:tcPr>
            <w:tcW w:w="900" w:type="dxa"/>
            <w:shd w:val="clear" w:color="auto" w:fill="EEECE1" w:themeFill="background2"/>
          </w:tcPr>
          <w:p w14:paraId="4AA75966"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111D87DB"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34F1A251"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34ECDB63"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7DA93642"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5F938540"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396BCB15"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775AAE81"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6CE58ECF"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3DA49675" w14:textId="77777777" w:rsidR="0085235B" w:rsidRPr="00507E77" w:rsidRDefault="0085235B" w:rsidP="000D7F24">
            <w:pPr>
              <w:tabs>
                <w:tab w:val="left" w:pos="990"/>
              </w:tabs>
              <w:contextualSpacing/>
              <w:jc w:val="center"/>
            </w:pPr>
          </w:p>
        </w:tc>
        <w:tc>
          <w:tcPr>
            <w:tcW w:w="729" w:type="dxa"/>
            <w:shd w:val="clear" w:color="auto" w:fill="EEECE1" w:themeFill="background2"/>
          </w:tcPr>
          <w:p w14:paraId="6E2CD8B3" w14:textId="77777777" w:rsidR="0085235B" w:rsidRPr="00507E77" w:rsidRDefault="0085235B" w:rsidP="000D7F24">
            <w:pPr>
              <w:tabs>
                <w:tab w:val="left" w:pos="990"/>
              </w:tabs>
              <w:contextualSpacing/>
              <w:jc w:val="center"/>
            </w:pPr>
          </w:p>
        </w:tc>
        <w:tc>
          <w:tcPr>
            <w:tcW w:w="990" w:type="dxa"/>
            <w:shd w:val="clear" w:color="auto" w:fill="EEECE1" w:themeFill="background2"/>
          </w:tcPr>
          <w:p w14:paraId="49822ED5" w14:textId="77777777" w:rsidR="0085235B" w:rsidRPr="00507E77" w:rsidRDefault="0085235B" w:rsidP="000D7F24">
            <w:pPr>
              <w:tabs>
                <w:tab w:val="left" w:pos="990"/>
              </w:tabs>
              <w:jc w:val="center"/>
            </w:pPr>
          </w:p>
        </w:tc>
      </w:tr>
      <w:tr w:rsidR="006B2A50" w:rsidRPr="00507E77" w14:paraId="322AFBBA" w14:textId="77777777" w:rsidTr="00EC6665">
        <w:trPr>
          <w:trHeight w:val="530"/>
        </w:trPr>
        <w:tc>
          <w:tcPr>
            <w:tcW w:w="5238" w:type="dxa"/>
            <w:shd w:val="clear" w:color="auto" w:fill="EEECE1" w:themeFill="background2"/>
            <w:vAlign w:val="center"/>
          </w:tcPr>
          <w:p w14:paraId="697809E8" w14:textId="22197C17" w:rsidR="006B2A50" w:rsidRDefault="006B2A50" w:rsidP="00844969">
            <w:pPr>
              <w:rPr>
                <w:rFonts w:eastAsia="Times New Roman"/>
                <w:b/>
                <w:bCs/>
              </w:rPr>
            </w:pPr>
            <w:r w:rsidRPr="008459AF">
              <w:rPr>
                <w:rFonts w:ascii="Times New Roman" w:hAnsi="Times New Roman" w:cs="Times New Roman"/>
                <w:b/>
                <w:bCs/>
                <w:smallCaps/>
              </w:rPr>
              <w:t xml:space="preserve">F.)  </w:t>
            </w:r>
            <w:r w:rsidRPr="008459AF">
              <w:rPr>
                <w:rFonts w:ascii="Times New Roman" w:hAnsi="Times New Roman" w:cs="Times New Roman"/>
                <w:b/>
                <w:bCs/>
              </w:rPr>
              <w:t>Establishing Inspection Periods and Preliminary Recommendations for Preventive Measures for Mid-Rise Buildings Near Coastal and Inland South Florida Environments</w:t>
            </w:r>
            <w:r>
              <w:rPr>
                <w:b/>
                <w:bCs/>
              </w:rPr>
              <w:t xml:space="preserve">; (FIU: Atorod Azizinamni); [$125,000] – </w:t>
            </w:r>
            <w:r w:rsidRPr="008459AF">
              <w:rPr>
                <w:b/>
                <w:bCs/>
                <w:color w:val="FF0000"/>
              </w:rPr>
              <w:t>Received After May</w:t>
            </w:r>
            <w:r>
              <w:rPr>
                <w:b/>
                <w:bCs/>
                <w:color w:val="FF0000"/>
              </w:rPr>
              <w:t xml:space="preserve"> </w:t>
            </w:r>
            <w:r w:rsidRPr="008459AF">
              <w:rPr>
                <w:b/>
                <w:bCs/>
                <w:color w:val="FF0000"/>
              </w:rPr>
              <w:t>3, 2022</w:t>
            </w:r>
          </w:p>
        </w:tc>
        <w:tc>
          <w:tcPr>
            <w:tcW w:w="900" w:type="dxa"/>
            <w:shd w:val="clear" w:color="auto" w:fill="EEECE1" w:themeFill="background2"/>
          </w:tcPr>
          <w:p w14:paraId="3D20F8A0"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34EEE8D1"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4C6679D5"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125CCD67"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0D40A6E9"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044FFEDB"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0BF0D29B"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30CC3CE1"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264862E6"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4206DF41" w14:textId="77777777" w:rsidR="006B2A50" w:rsidRPr="00507E77" w:rsidRDefault="006B2A50" w:rsidP="000D7F24">
            <w:pPr>
              <w:tabs>
                <w:tab w:val="left" w:pos="990"/>
              </w:tabs>
              <w:contextualSpacing/>
              <w:jc w:val="center"/>
            </w:pPr>
          </w:p>
        </w:tc>
        <w:tc>
          <w:tcPr>
            <w:tcW w:w="729" w:type="dxa"/>
            <w:shd w:val="clear" w:color="auto" w:fill="EEECE1" w:themeFill="background2"/>
          </w:tcPr>
          <w:p w14:paraId="1CAFA851" w14:textId="77777777" w:rsidR="006B2A50" w:rsidRPr="00507E77" w:rsidRDefault="006B2A50" w:rsidP="000D7F24">
            <w:pPr>
              <w:tabs>
                <w:tab w:val="left" w:pos="990"/>
              </w:tabs>
              <w:contextualSpacing/>
              <w:jc w:val="center"/>
            </w:pPr>
          </w:p>
        </w:tc>
        <w:tc>
          <w:tcPr>
            <w:tcW w:w="990" w:type="dxa"/>
            <w:shd w:val="clear" w:color="auto" w:fill="EEECE1" w:themeFill="background2"/>
          </w:tcPr>
          <w:p w14:paraId="19D8EDE4" w14:textId="77777777" w:rsidR="006B2A50" w:rsidRPr="00507E77" w:rsidRDefault="006B2A50" w:rsidP="000D7F24">
            <w:pPr>
              <w:tabs>
                <w:tab w:val="left" w:pos="990"/>
              </w:tabs>
              <w:jc w:val="center"/>
            </w:pPr>
          </w:p>
        </w:tc>
      </w:tr>
    </w:tbl>
    <w:p w14:paraId="3983D59F" w14:textId="40E93EA2" w:rsidR="00877865" w:rsidRDefault="00877865" w:rsidP="00877865">
      <w:pPr>
        <w:tabs>
          <w:tab w:val="left" w:pos="990"/>
        </w:tabs>
        <w:spacing w:before="120" w:after="0"/>
        <w:rPr>
          <w:b/>
        </w:rPr>
      </w:pPr>
    </w:p>
    <w:tbl>
      <w:tblPr>
        <w:tblStyle w:val="TableGrid"/>
        <w:tblW w:w="0" w:type="auto"/>
        <w:tblLook w:val="04A0" w:firstRow="1" w:lastRow="0" w:firstColumn="1" w:lastColumn="0" w:noHBand="0" w:noVBand="1"/>
      </w:tblPr>
      <w:tblGrid>
        <w:gridCol w:w="14328"/>
      </w:tblGrid>
      <w:tr w:rsidR="00412B64" w14:paraId="0E22BD6B" w14:textId="77777777" w:rsidTr="00D6069E">
        <w:tc>
          <w:tcPr>
            <w:tcW w:w="14328" w:type="dxa"/>
            <w:shd w:val="clear" w:color="auto" w:fill="00B0F0"/>
          </w:tcPr>
          <w:p w14:paraId="097FFD3D" w14:textId="6B2D1E5B" w:rsidR="00412B64" w:rsidRDefault="00412B64" w:rsidP="00877865">
            <w:pPr>
              <w:tabs>
                <w:tab w:val="left" w:pos="990"/>
              </w:tabs>
              <w:spacing w:before="120"/>
              <w:rPr>
                <w:b/>
              </w:rPr>
            </w:pPr>
            <w:r>
              <w:rPr>
                <w:b/>
              </w:rPr>
              <w:t xml:space="preserve">The Following Projects are Needed for Support of the Development of the 2023 FBC and Will be Funded by the Commission  </w:t>
            </w:r>
          </w:p>
        </w:tc>
      </w:tr>
      <w:tr w:rsidR="00412B64" w14:paraId="7A1F5A8D" w14:textId="77777777" w:rsidTr="00412B64">
        <w:tc>
          <w:tcPr>
            <w:tcW w:w="14328" w:type="dxa"/>
          </w:tcPr>
          <w:p w14:paraId="65C96472" w14:textId="3236F343" w:rsidR="00412B64" w:rsidRPr="00D6069E" w:rsidRDefault="00D6069E" w:rsidP="00D6069E">
            <w:pPr>
              <w:tabs>
                <w:tab w:val="left" w:pos="990"/>
              </w:tabs>
              <w:spacing w:before="120"/>
              <w:rPr>
                <w:b/>
              </w:rPr>
            </w:pPr>
            <w:r>
              <w:rPr>
                <w:b/>
              </w:rPr>
              <w:t xml:space="preserve">A.)   </w:t>
            </w:r>
            <w:r w:rsidR="00412B64" w:rsidRPr="00D6069E">
              <w:rPr>
                <w:b/>
              </w:rPr>
              <w:t xml:space="preserve">Review of the integrated draft of the 2023 Florida Building Code to identify publication errors, formatting issues, incorrect cross references between sections, </w:t>
            </w:r>
            <w:r w:rsidR="00D572AF" w:rsidRPr="00D6069E">
              <w:rPr>
                <w:b/>
              </w:rPr>
              <w:t>missing text, and any other issues related to the integration of the approved amendments into the base code (Consulting service); [$65,000]</w:t>
            </w:r>
          </w:p>
        </w:tc>
      </w:tr>
      <w:tr w:rsidR="00412B64" w14:paraId="3710FBFB" w14:textId="77777777" w:rsidTr="00412B64">
        <w:tc>
          <w:tcPr>
            <w:tcW w:w="14328" w:type="dxa"/>
          </w:tcPr>
          <w:p w14:paraId="1FE1DE11" w14:textId="51ABD83E" w:rsidR="00412B64" w:rsidRDefault="00D572AF" w:rsidP="00877865">
            <w:pPr>
              <w:tabs>
                <w:tab w:val="left" w:pos="990"/>
              </w:tabs>
              <w:spacing w:before="120"/>
              <w:rPr>
                <w:b/>
              </w:rPr>
            </w:pPr>
            <w:r>
              <w:rPr>
                <w:b/>
              </w:rPr>
              <w:t>B.)</w:t>
            </w:r>
            <w:r w:rsidR="00D6069E">
              <w:rPr>
                <w:b/>
              </w:rPr>
              <w:t xml:space="preserve">  </w:t>
            </w:r>
            <w:r>
              <w:rPr>
                <w:b/>
              </w:rPr>
              <w:t xml:space="preserve">Update and development of wind speed line maps for the </w:t>
            </w:r>
            <w:r w:rsidR="00D6069E">
              <w:rPr>
                <w:b/>
              </w:rPr>
              <w:t>8</w:t>
            </w:r>
            <w:r w:rsidR="00D6069E" w:rsidRPr="00D6069E">
              <w:rPr>
                <w:b/>
                <w:vertAlign w:val="superscript"/>
              </w:rPr>
              <w:t>th</w:t>
            </w:r>
            <w:r w:rsidR="00D6069E">
              <w:rPr>
                <w:b/>
              </w:rPr>
              <w:t xml:space="preserve"> Edition (2023) Florida Building Code; (UF: Katherine Norris); [$49,977]</w:t>
            </w:r>
          </w:p>
        </w:tc>
      </w:tr>
      <w:tr w:rsidR="00412B64" w14:paraId="04356B6B" w14:textId="77777777" w:rsidTr="00412B64">
        <w:tc>
          <w:tcPr>
            <w:tcW w:w="14328" w:type="dxa"/>
          </w:tcPr>
          <w:p w14:paraId="219FA2CE" w14:textId="20478A22" w:rsidR="00412B64" w:rsidRDefault="00ED10CE" w:rsidP="00877865">
            <w:pPr>
              <w:tabs>
                <w:tab w:val="left" w:pos="990"/>
              </w:tabs>
              <w:spacing w:before="120"/>
              <w:rPr>
                <w:b/>
              </w:rPr>
            </w:pPr>
            <w:r>
              <w:rPr>
                <w:b/>
              </w:rPr>
              <w:t xml:space="preserve">C.)  Survey and investigation of buildings damaged by Category – III, IV &amp; V Hurricanes; (UF: David Prevatt); [$75,000] </w:t>
            </w:r>
          </w:p>
        </w:tc>
      </w:tr>
      <w:tr w:rsidR="00412B64" w14:paraId="4920B100" w14:textId="77777777" w:rsidTr="00412B64">
        <w:tc>
          <w:tcPr>
            <w:tcW w:w="14328" w:type="dxa"/>
          </w:tcPr>
          <w:p w14:paraId="10668C4A" w14:textId="77777777" w:rsidR="00412B64" w:rsidRDefault="00412B64" w:rsidP="00877865">
            <w:pPr>
              <w:tabs>
                <w:tab w:val="left" w:pos="990"/>
              </w:tabs>
              <w:spacing w:before="120"/>
              <w:rPr>
                <w:b/>
              </w:rPr>
            </w:pPr>
          </w:p>
        </w:tc>
      </w:tr>
      <w:tr w:rsidR="00D6069E" w14:paraId="1C4E27F8" w14:textId="77777777" w:rsidTr="00412B64">
        <w:tc>
          <w:tcPr>
            <w:tcW w:w="14328" w:type="dxa"/>
          </w:tcPr>
          <w:p w14:paraId="69A28ED3" w14:textId="77777777" w:rsidR="00D6069E" w:rsidRDefault="00D6069E" w:rsidP="00877865">
            <w:pPr>
              <w:tabs>
                <w:tab w:val="left" w:pos="990"/>
              </w:tabs>
              <w:spacing w:before="120"/>
              <w:rPr>
                <w:b/>
              </w:rPr>
            </w:pPr>
          </w:p>
        </w:tc>
      </w:tr>
      <w:tr w:rsidR="00D6069E" w14:paraId="1A3A7914" w14:textId="77777777" w:rsidTr="00412B64">
        <w:tc>
          <w:tcPr>
            <w:tcW w:w="14328" w:type="dxa"/>
          </w:tcPr>
          <w:p w14:paraId="6B5796A0" w14:textId="77777777" w:rsidR="00D6069E" w:rsidRDefault="00D6069E" w:rsidP="00877865">
            <w:pPr>
              <w:tabs>
                <w:tab w:val="left" w:pos="990"/>
              </w:tabs>
              <w:spacing w:before="120"/>
              <w:rPr>
                <w:b/>
              </w:rPr>
            </w:pPr>
          </w:p>
        </w:tc>
      </w:tr>
    </w:tbl>
    <w:p w14:paraId="332F499F" w14:textId="77777777" w:rsidR="00412B64" w:rsidRPr="00507E77" w:rsidRDefault="00412B64" w:rsidP="00877865">
      <w:pPr>
        <w:tabs>
          <w:tab w:val="left" w:pos="990"/>
        </w:tabs>
        <w:spacing w:before="120" w:after="0"/>
        <w:rPr>
          <w:b/>
        </w:rPr>
      </w:pPr>
    </w:p>
    <w:sectPr w:rsidR="00412B64" w:rsidRPr="00507E77" w:rsidSect="00AB525D">
      <w:footerReference w:type="default" r:id="rId8"/>
      <w:pgSz w:w="15840" w:h="12240" w:orient="landscape"/>
      <w:pgMar w:top="1440" w:right="864"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4413" w14:textId="77777777" w:rsidR="00903586" w:rsidRDefault="00903586" w:rsidP="00B155CE">
      <w:pPr>
        <w:spacing w:after="0"/>
      </w:pPr>
      <w:r>
        <w:separator/>
      </w:r>
    </w:p>
  </w:endnote>
  <w:endnote w:type="continuationSeparator" w:id="0">
    <w:p w14:paraId="47FD9DEB" w14:textId="77777777" w:rsidR="00903586" w:rsidRDefault="00903586" w:rsidP="00B15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6E8C" w14:textId="0F5D13EE" w:rsidR="00903586" w:rsidRDefault="00903586" w:rsidP="00B155CE">
    <w:pPr>
      <w:pStyle w:val="Footer"/>
      <w:jc w:val="center"/>
    </w:pPr>
    <w:r>
      <w:rPr>
        <w:rStyle w:val="PageNumber"/>
      </w:rPr>
      <w:fldChar w:fldCharType="begin"/>
    </w:r>
    <w:r>
      <w:rPr>
        <w:rStyle w:val="PageNumber"/>
      </w:rPr>
      <w:instrText xml:space="preserve"> PAGE </w:instrText>
    </w:r>
    <w:r>
      <w:rPr>
        <w:rStyle w:val="PageNumber"/>
      </w:rPr>
      <w:fldChar w:fldCharType="separate"/>
    </w:r>
    <w:r w:rsidR="006B0B5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61A92" w14:textId="77777777" w:rsidR="00903586" w:rsidRDefault="00903586" w:rsidP="00B155CE">
      <w:pPr>
        <w:spacing w:after="0"/>
      </w:pPr>
      <w:r>
        <w:separator/>
      </w:r>
    </w:p>
  </w:footnote>
  <w:footnote w:type="continuationSeparator" w:id="0">
    <w:p w14:paraId="32F78F30" w14:textId="77777777" w:rsidR="00903586" w:rsidRDefault="00903586" w:rsidP="00B155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5DA"/>
    <w:multiLevelType w:val="hybridMultilevel"/>
    <w:tmpl w:val="42647548"/>
    <w:lvl w:ilvl="0" w:tplc="D25A69E8">
      <w:start w:val="4"/>
      <w:numFmt w:val="bullet"/>
      <w:lvlText w:val="-"/>
      <w:lvlJc w:val="left"/>
      <w:pPr>
        <w:ind w:left="720" w:hanging="360"/>
      </w:pPr>
      <w:rPr>
        <w:rFonts w:ascii="Garamond" w:eastAsia="Times New Roman"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86B25"/>
    <w:multiLevelType w:val="multilevel"/>
    <w:tmpl w:val="919EE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5810595"/>
    <w:multiLevelType w:val="hybridMultilevel"/>
    <w:tmpl w:val="2958A2B0"/>
    <w:lvl w:ilvl="0" w:tplc="3658472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3514"/>
    <w:multiLevelType w:val="hybridMultilevel"/>
    <w:tmpl w:val="D9BC9DF4"/>
    <w:lvl w:ilvl="0" w:tplc="123AA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A5536"/>
    <w:multiLevelType w:val="hybridMultilevel"/>
    <w:tmpl w:val="87EC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3070E"/>
    <w:multiLevelType w:val="hybridMultilevel"/>
    <w:tmpl w:val="9E3CF182"/>
    <w:lvl w:ilvl="0" w:tplc="C37E6BC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160BA"/>
    <w:multiLevelType w:val="hybridMultilevel"/>
    <w:tmpl w:val="366E9682"/>
    <w:lvl w:ilvl="0" w:tplc="65C22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B193E"/>
    <w:multiLevelType w:val="hybridMultilevel"/>
    <w:tmpl w:val="1E38CA0E"/>
    <w:lvl w:ilvl="0" w:tplc="3658472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7736A"/>
    <w:multiLevelType w:val="hybridMultilevel"/>
    <w:tmpl w:val="F5A8D23A"/>
    <w:lvl w:ilvl="0" w:tplc="721E5FA0">
      <w:start w:val="1"/>
      <w:numFmt w:val="bullet"/>
      <w:lvlText w:val="-"/>
      <w:lvlJc w:val="left"/>
      <w:pPr>
        <w:ind w:left="720" w:hanging="360"/>
      </w:pPr>
      <w:rPr>
        <w:rFonts w:ascii="Garamond" w:eastAsia="Times New Roman"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01F5E"/>
    <w:multiLevelType w:val="hybridMultilevel"/>
    <w:tmpl w:val="C47A2A78"/>
    <w:lvl w:ilvl="0" w:tplc="980209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850505"/>
    <w:multiLevelType w:val="hybridMultilevel"/>
    <w:tmpl w:val="919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10"/>
  </w:num>
  <w:num w:numId="6">
    <w:abstractNumId w:val="1"/>
  </w:num>
  <w:num w:numId="7">
    <w:abstractNumId w:val="5"/>
  </w:num>
  <w:num w:numId="8">
    <w:abstractNumId w:val="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28"/>
    <w:rsid w:val="000004D1"/>
    <w:rsid w:val="00012F15"/>
    <w:rsid w:val="00014ED9"/>
    <w:rsid w:val="000209A6"/>
    <w:rsid w:val="00026F23"/>
    <w:rsid w:val="00027DA3"/>
    <w:rsid w:val="00030996"/>
    <w:rsid w:val="00035519"/>
    <w:rsid w:val="00054F93"/>
    <w:rsid w:val="0006157C"/>
    <w:rsid w:val="00061F67"/>
    <w:rsid w:val="0008506A"/>
    <w:rsid w:val="0009032D"/>
    <w:rsid w:val="000969B2"/>
    <w:rsid w:val="000969D9"/>
    <w:rsid w:val="000A34F9"/>
    <w:rsid w:val="000A5284"/>
    <w:rsid w:val="000B2F8F"/>
    <w:rsid w:val="000B7425"/>
    <w:rsid w:val="000D4DD9"/>
    <w:rsid w:val="000D7F24"/>
    <w:rsid w:val="000E2CD1"/>
    <w:rsid w:val="00107A28"/>
    <w:rsid w:val="00117BFE"/>
    <w:rsid w:val="001254E0"/>
    <w:rsid w:val="001255F5"/>
    <w:rsid w:val="00125ADA"/>
    <w:rsid w:val="00125B03"/>
    <w:rsid w:val="00130B0B"/>
    <w:rsid w:val="0013423A"/>
    <w:rsid w:val="00135611"/>
    <w:rsid w:val="00137BA7"/>
    <w:rsid w:val="0014102A"/>
    <w:rsid w:val="00142D79"/>
    <w:rsid w:val="001440E9"/>
    <w:rsid w:val="00144E4C"/>
    <w:rsid w:val="00151579"/>
    <w:rsid w:val="001523FA"/>
    <w:rsid w:val="00155E01"/>
    <w:rsid w:val="00156C5D"/>
    <w:rsid w:val="0016690E"/>
    <w:rsid w:val="00192BEB"/>
    <w:rsid w:val="00197FC0"/>
    <w:rsid w:val="001A472F"/>
    <w:rsid w:val="001A5886"/>
    <w:rsid w:val="001A5BD1"/>
    <w:rsid w:val="001B4B9E"/>
    <w:rsid w:val="001B6524"/>
    <w:rsid w:val="001D0107"/>
    <w:rsid w:val="001D1975"/>
    <w:rsid w:val="001D2C58"/>
    <w:rsid w:val="001D7DE2"/>
    <w:rsid w:val="001E22A9"/>
    <w:rsid w:val="001E7B59"/>
    <w:rsid w:val="001F2132"/>
    <w:rsid w:val="001F4A02"/>
    <w:rsid w:val="001F7FE2"/>
    <w:rsid w:val="00203EA7"/>
    <w:rsid w:val="00210B67"/>
    <w:rsid w:val="0022157B"/>
    <w:rsid w:val="00232945"/>
    <w:rsid w:val="00280615"/>
    <w:rsid w:val="00282C1A"/>
    <w:rsid w:val="00282E36"/>
    <w:rsid w:val="00284A76"/>
    <w:rsid w:val="00286F57"/>
    <w:rsid w:val="002878D2"/>
    <w:rsid w:val="00294BCA"/>
    <w:rsid w:val="002A01DC"/>
    <w:rsid w:val="002B05C6"/>
    <w:rsid w:val="002B27B2"/>
    <w:rsid w:val="002B39C6"/>
    <w:rsid w:val="002B7149"/>
    <w:rsid w:val="002C1172"/>
    <w:rsid w:val="002D0D87"/>
    <w:rsid w:val="002D2C9C"/>
    <w:rsid w:val="002D3A7B"/>
    <w:rsid w:val="002D5D28"/>
    <w:rsid w:val="002F026A"/>
    <w:rsid w:val="002F0D1F"/>
    <w:rsid w:val="002F241B"/>
    <w:rsid w:val="002F3CFD"/>
    <w:rsid w:val="00304E2A"/>
    <w:rsid w:val="00307B3B"/>
    <w:rsid w:val="00307D87"/>
    <w:rsid w:val="00325258"/>
    <w:rsid w:val="003268A0"/>
    <w:rsid w:val="003273EF"/>
    <w:rsid w:val="00334E2F"/>
    <w:rsid w:val="00337C26"/>
    <w:rsid w:val="003400DA"/>
    <w:rsid w:val="00342713"/>
    <w:rsid w:val="00344E78"/>
    <w:rsid w:val="0035281F"/>
    <w:rsid w:val="0035506C"/>
    <w:rsid w:val="0035602F"/>
    <w:rsid w:val="00364C41"/>
    <w:rsid w:val="003658F5"/>
    <w:rsid w:val="003675B2"/>
    <w:rsid w:val="003706CB"/>
    <w:rsid w:val="00372549"/>
    <w:rsid w:val="00376C53"/>
    <w:rsid w:val="00382EA9"/>
    <w:rsid w:val="003A13C7"/>
    <w:rsid w:val="003A25B1"/>
    <w:rsid w:val="003B050E"/>
    <w:rsid w:val="003C3EAD"/>
    <w:rsid w:val="003D103E"/>
    <w:rsid w:val="003D1421"/>
    <w:rsid w:val="003D7EB7"/>
    <w:rsid w:val="003E5D36"/>
    <w:rsid w:val="003E628D"/>
    <w:rsid w:val="00406205"/>
    <w:rsid w:val="0040791D"/>
    <w:rsid w:val="00412B64"/>
    <w:rsid w:val="00422A59"/>
    <w:rsid w:val="00424F2E"/>
    <w:rsid w:val="00426FAE"/>
    <w:rsid w:val="0044364F"/>
    <w:rsid w:val="0044714E"/>
    <w:rsid w:val="00447BA4"/>
    <w:rsid w:val="00471019"/>
    <w:rsid w:val="004744FB"/>
    <w:rsid w:val="00490DC8"/>
    <w:rsid w:val="00491045"/>
    <w:rsid w:val="00491CD9"/>
    <w:rsid w:val="00491DD0"/>
    <w:rsid w:val="00492797"/>
    <w:rsid w:val="004944F0"/>
    <w:rsid w:val="00497A96"/>
    <w:rsid w:val="004A13C4"/>
    <w:rsid w:val="004A1E31"/>
    <w:rsid w:val="004A2ADD"/>
    <w:rsid w:val="004A3371"/>
    <w:rsid w:val="004A3618"/>
    <w:rsid w:val="004A4206"/>
    <w:rsid w:val="004B5357"/>
    <w:rsid w:val="004E7C15"/>
    <w:rsid w:val="00503CFE"/>
    <w:rsid w:val="00504FC7"/>
    <w:rsid w:val="00507E77"/>
    <w:rsid w:val="005135F5"/>
    <w:rsid w:val="00514DA2"/>
    <w:rsid w:val="0051653C"/>
    <w:rsid w:val="005224FF"/>
    <w:rsid w:val="00525011"/>
    <w:rsid w:val="0053575A"/>
    <w:rsid w:val="00573587"/>
    <w:rsid w:val="005754E3"/>
    <w:rsid w:val="00575761"/>
    <w:rsid w:val="00584240"/>
    <w:rsid w:val="00587A30"/>
    <w:rsid w:val="00590A5E"/>
    <w:rsid w:val="00590BA5"/>
    <w:rsid w:val="00590FB0"/>
    <w:rsid w:val="005A38F1"/>
    <w:rsid w:val="005B0036"/>
    <w:rsid w:val="005B0AA3"/>
    <w:rsid w:val="005B1510"/>
    <w:rsid w:val="005B347B"/>
    <w:rsid w:val="005C232B"/>
    <w:rsid w:val="005C523D"/>
    <w:rsid w:val="005D35B2"/>
    <w:rsid w:val="005E2A36"/>
    <w:rsid w:val="005F6015"/>
    <w:rsid w:val="00601B0C"/>
    <w:rsid w:val="006157FC"/>
    <w:rsid w:val="00625EF7"/>
    <w:rsid w:val="00626FCD"/>
    <w:rsid w:val="00632351"/>
    <w:rsid w:val="0063294C"/>
    <w:rsid w:val="0064708C"/>
    <w:rsid w:val="006502D5"/>
    <w:rsid w:val="0065717E"/>
    <w:rsid w:val="006641B5"/>
    <w:rsid w:val="00666B6E"/>
    <w:rsid w:val="006739A7"/>
    <w:rsid w:val="0067689C"/>
    <w:rsid w:val="00682F81"/>
    <w:rsid w:val="00692115"/>
    <w:rsid w:val="00694388"/>
    <w:rsid w:val="006A29A7"/>
    <w:rsid w:val="006A5139"/>
    <w:rsid w:val="006B0B53"/>
    <w:rsid w:val="006B274F"/>
    <w:rsid w:val="006B2A50"/>
    <w:rsid w:val="006C306E"/>
    <w:rsid w:val="006D0D33"/>
    <w:rsid w:val="006E02DA"/>
    <w:rsid w:val="006E1FFE"/>
    <w:rsid w:val="006F00B8"/>
    <w:rsid w:val="006F0BA7"/>
    <w:rsid w:val="006F4FDD"/>
    <w:rsid w:val="00706679"/>
    <w:rsid w:val="00715B78"/>
    <w:rsid w:val="00724104"/>
    <w:rsid w:val="007316DF"/>
    <w:rsid w:val="00737CBD"/>
    <w:rsid w:val="007526C2"/>
    <w:rsid w:val="00760795"/>
    <w:rsid w:val="00784045"/>
    <w:rsid w:val="0079716C"/>
    <w:rsid w:val="007A0D31"/>
    <w:rsid w:val="007C475C"/>
    <w:rsid w:val="007D0EC6"/>
    <w:rsid w:val="007E393C"/>
    <w:rsid w:val="00806A3A"/>
    <w:rsid w:val="00814D34"/>
    <w:rsid w:val="00816FD8"/>
    <w:rsid w:val="00817B45"/>
    <w:rsid w:val="00833691"/>
    <w:rsid w:val="0083598E"/>
    <w:rsid w:val="00844969"/>
    <w:rsid w:val="008459AF"/>
    <w:rsid w:val="0085235B"/>
    <w:rsid w:val="0085574E"/>
    <w:rsid w:val="00874BD6"/>
    <w:rsid w:val="00877865"/>
    <w:rsid w:val="008803B1"/>
    <w:rsid w:val="0088043D"/>
    <w:rsid w:val="00880DEB"/>
    <w:rsid w:val="00881B4A"/>
    <w:rsid w:val="00887CBB"/>
    <w:rsid w:val="0089206D"/>
    <w:rsid w:val="008E3ACD"/>
    <w:rsid w:val="008E645D"/>
    <w:rsid w:val="008E76AA"/>
    <w:rsid w:val="00902973"/>
    <w:rsid w:val="00903586"/>
    <w:rsid w:val="009107DF"/>
    <w:rsid w:val="009176BF"/>
    <w:rsid w:val="0092754D"/>
    <w:rsid w:val="009345EB"/>
    <w:rsid w:val="00951372"/>
    <w:rsid w:val="009526C3"/>
    <w:rsid w:val="009532DE"/>
    <w:rsid w:val="00961369"/>
    <w:rsid w:val="00961848"/>
    <w:rsid w:val="00965EC1"/>
    <w:rsid w:val="009702FF"/>
    <w:rsid w:val="00975934"/>
    <w:rsid w:val="009852A5"/>
    <w:rsid w:val="0099316B"/>
    <w:rsid w:val="009A4BB9"/>
    <w:rsid w:val="009A4CE5"/>
    <w:rsid w:val="009A74F4"/>
    <w:rsid w:val="009C071F"/>
    <w:rsid w:val="009C44E1"/>
    <w:rsid w:val="009C79A9"/>
    <w:rsid w:val="009D0A8C"/>
    <w:rsid w:val="009D2FF7"/>
    <w:rsid w:val="009D5825"/>
    <w:rsid w:val="009F7876"/>
    <w:rsid w:val="00A00449"/>
    <w:rsid w:val="00A02920"/>
    <w:rsid w:val="00A06CC2"/>
    <w:rsid w:val="00A34910"/>
    <w:rsid w:val="00A429DE"/>
    <w:rsid w:val="00A50753"/>
    <w:rsid w:val="00A60130"/>
    <w:rsid w:val="00A809CF"/>
    <w:rsid w:val="00A938DE"/>
    <w:rsid w:val="00AB3D49"/>
    <w:rsid w:val="00AB525D"/>
    <w:rsid w:val="00AB7274"/>
    <w:rsid w:val="00AC6763"/>
    <w:rsid w:val="00AD033D"/>
    <w:rsid w:val="00AD066C"/>
    <w:rsid w:val="00AD0E9A"/>
    <w:rsid w:val="00AD725A"/>
    <w:rsid w:val="00AE6A05"/>
    <w:rsid w:val="00AE7D70"/>
    <w:rsid w:val="00AF0B7F"/>
    <w:rsid w:val="00AF68C1"/>
    <w:rsid w:val="00AF7E5B"/>
    <w:rsid w:val="00B016C8"/>
    <w:rsid w:val="00B07A53"/>
    <w:rsid w:val="00B10907"/>
    <w:rsid w:val="00B119D1"/>
    <w:rsid w:val="00B155CE"/>
    <w:rsid w:val="00B22D34"/>
    <w:rsid w:val="00B27BDA"/>
    <w:rsid w:val="00B338B7"/>
    <w:rsid w:val="00B35D9F"/>
    <w:rsid w:val="00B46E18"/>
    <w:rsid w:val="00B46EA7"/>
    <w:rsid w:val="00B55E2A"/>
    <w:rsid w:val="00B71AB6"/>
    <w:rsid w:val="00B911E1"/>
    <w:rsid w:val="00B9143F"/>
    <w:rsid w:val="00B94AFB"/>
    <w:rsid w:val="00BA0770"/>
    <w:rsid w:val="00BB3C94"/>
    <w:rsid w:val="00BB66F3"/>
    <w:rsid w:val="00BD08E5"/>
    <w:rsid w:val="00BD4A93"/>
    <w:rsid w:val="00C02FED"/>
    <w:rsid w:val="00C10CB6"/>
    <w:rsid w:val="00C12D45"/>
    <w:rsid w:val="00C15588"/>
    <w:rsid w:val="00C158D5"/>
    <w:rsid w:val="00C209EA"/>
    <w:rsid w:val="00C24711"/>
    <w:rsid w:val="00C26F61"/>
    <w:rsid w:val="00C27989"/>
    <w:rsid w:val="00C366D1"/>
    <w:rsid w:val="00C46BE6"/>
    <w:rsid w:val="00C542B8"/>
    <w:rsid w:val="00C563BD"/>
    <w:rsid w:val="00C608A3"/>
    <w:rsid w:val="00C64004"/>
    <w:rsid w:val="00C70AC7"/>
    <w:rsid w:val="00C7252D"/>
    <w:rsid w:val="00C75897"/>
    <w:rsid w:val="00C759B6"/>
    <w:rsid w:val="00C7620F"/>
    <w:rsid w:val="00CA068A"/>
    <w:rsid w:val="00CA7372"/>
    <w:rsid w:val="00CB0B03"/>
    <w:rsid w:val="00CB2414"/>
    <w:rsid w:val="00CB4C37"/>
    <w:rsid w:val="00CB4FB8"/>
    <w:rsid w:val="00CC0009"/>
    <w:rsid w:val="00CC575E"/>
    <w:rsid w:val="00CD26B8"/>
    <w:rsid w:val="00CD32C7"/>
    <w:rsid w:val="00CD7F8B"/>
    <w:rsid w:val="00CF477B"/>
    <w:rsid w:val="00D128E9"/>
    <w:rsid w:val="00D325E4"/>
    <w:rsid w:val="00D35972"/>
    <w:rsid w:val="00D52D44"/>
    <w:rsid w:val="00D572AF"/>
    <w:rsid w:val="00D6069E"/>
    <w:rsid w:val="00D63059"/>
    <w:rsid w:val="00D63BE7"/>
    <w:rsid w:val="00D77486"/>
    <w:rsid w:val="00D86D75"/>
    <w:rsid w:val="00DA5A2F"/>
    <w:rsid w:val="00DB5DD6"/>
    <w:rsid w:val="00DE5574"/>
    <w:rsid w:val="00DF4B1B"/>
    <w:rsid w:val="00E006EA"/>
    <w:rsid w:val="00E0579B"/>
    <w:rsid w:val="00E20011"/>
    <w:rsid w:val="00E30210"/>
    <w:rsid w:val="00E40315"/>
    <w:rsid w:val="00E447F1"/>
    <w:rsid w:val="00E67843"/>
    <w:rsid w:val="00E80AE2"/>
    <w:rsid w:val="00E81A58"/>
    <w:rsid w:val="00E83298"/>
    <w:rsid w:val="00E96232"/>
    <w:rsid w:val="00EA3700"/>
    <w:rsid w:val="00EB60FC"/>
    <w:rsid w:val="00EC4CA1"/>
    <w:rsid w:val="00EC52A1"/>
    <w:rsid w:val="00EC6665"/>
    <w:rsid w:val="00ED10CE"/>
    <w:rsid w:val="00ED12A8"/>
    <w:rsid w:val="00ED28A8"/>
    <w:rsid w:val="00ED296B"/>
    <w:rsid w:val="00ED582C"/>
    <w:rsid w:val="00EF3576"/>
    <w:rsid w:val="00EF3688"/>
    <w:rsid w:val="00EF58CB"/>
    <w:rsid w:val="00F03A5F"/>
    <w:rsid w:val="00F06DEC"/>
    <w:rsid w:val="00F171D7"/>
    <w:rsid w:val="00F22FA2"/>
    <w:rsid w:val="00F3730E"/>
    <w:rsid w:val="00F45328"/>
    <w:rsid w:val="00F45E16"/>
    <w:rsid w:val="00F534D5"/>
    <w:rsid w:val="00F60A81"/>
    <w:rsid w:val="00F736C9"/>
    <w:rsid w:val="00F96387"/>
    <w:rsid w:val="00FA4301"/>
    <w:rsid w:val="00FB2371"/>
    <w:rsid w:val="00FB595A"/>
    <w:rsid w:val="00FC12D3"/>
    <w:rsid w:val="00FE07C8"/>
    <w:rsid w:val="00FE145F"/>
    <w:rsid w:val="00FF09A2"/>
    <w:rsid w:val="00FF274B"/>
    <w:rsid w:val="00FF456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C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A28"/>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07A28"/>
    <w:pPr>
      <w:spacing w:after="0" w:line="360" w:lineRule="auto"/>
    </w:pPr>
    <w:rPr>
      <w:rFonts w:ascii="Times New Roman" w:eastAsia="Times New Roman" w:hAnsi="Times New Roman" w:cs="Times New Roman"/>
      <w:b/>
      <w:lang w:eastAsia="en-US"/>
    </w:rPr>
  </w:style>
  <w:style w:type="character" w:customStyle="1" w:styleId="SubtitleChar">
    <w:name w:val="Subtitle Char"/>
    <w:basedOn w:val="DefaultParagraphFont"/>
    <w:link w:val="Subtitle"/>
    <w:rsid w:val="00107A28"/>
    <w:rPr>
      <w:rFonts w:ascii="Times New Roman" w:eastAsia="Times New Roman" w:hAnsi="Times New Roman" w:cs="Times New Roman"/>
      <w:b/>
      <w:lang w:eastAsia="en-US"/>
    </w:rPr>
  </w:style>
  <w:style w:type="paragraph" w:styleId="ListParagraph">
    <w:name w:val="List Paragraph"/>
    <w:basedOn w:val="Normal"/>
    <w:uiPriority w:val="34"/>
    <w:qFormat/>
    <w:rsid w:val="00107A28"/>
    <w:pPr>
      <w:spacing w:after="0"/>
      <w:ind w:left="720"/>
      <w:contextualSpacing/>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B155CE"/>
    <w:pPr>
      <w:tabs>
        <w:tab w:val="center" w:pos="4320"/>
        <w:tab w:val="right" w:pos="8640"/>
      </w:tabs>
      <w:spacing w:after="0"/>
    </w:pPr>
  </w:style>
  <w:style w:type="character" w:customStyle="1" w:styleId="HeaderChar">
    <w:name w:val="Header Char"/>
    <w:basedOn w:val="DefaultParagraphFont"/>
    <w:link w:val="Header"/>
    <w:uiPriority w:val="99"/>
    <w:rsid w:val="00B155CE"/>
  </w:style>
  <w:style w:type="paragraph" w:styleId="Footer">
    <w:name w:val="footer"/>
    <w:basedOn w:val="Normal"/>
    <w:link w:val="FooterChar"/>
    <w:uiPriority w:val="99"/>
    <w:unhideWhenUsed/>
    <w:rsid w:val="00B155CE"/>
    <w:pPr>
      <w:tabs>
        <w:tab w:val="center" w:pos="4320"/>
        <w:tab w:val="right" w:pos="8640"/>
      </w:tabs>
      <w:spacing w:after="0"/>
    </w:pPr>
  </w:style>
  <w:style w:type="character" w:customStyle="1" w:styleId="FooterChar">
    <w:name w:val="Footer Char"/>
    <w:basedOn w:val="DefaultParagraphFont"/>
    <w:link w:val="Footer"/>
    <w:uiPriority w:val="99"/>
    <w:rsid w:val="00B155CE"/>
  </w:style>
  <w:style w:type="character" w:styleId="PageNumber">
    <w:name w:val="page number"/>
    <w:basedOn w:val="DefaultParagraphFont"/>
    <w:uiPriority w:val="99"/>
    <w:semiHidden/>
    <w:unhideWhenUsed/>
    <w:rsid w:val="00B155CE"/>
  </w:style>
  <w:style w:type="paragraph" w:customStyle="1" w:styleId="Default">
    <w:name w:val="Default"/>
    <w:rsid w:val="00424F2E"/>
    <w:pPr>
      <w:autoSpaceDE w:val="0"/>
      <w:autoSpaceDN w:val="0"/>
      <w:adjustRightInd w:val="0"/>
      <w:spacing w:after="0"/>
    </w:pPr>
    <w:rPr>
      <w:rFonts w:ascii="Times New Roman" w:hAnsi="Times New Roman" w:cs="Times New Roman"/>
      <w:color w:val="000000"/>
    </w:rPr>
  </w:style>
  <w:style w:type="table" w:customStyle="1" w:styleId="TableGrid1">
    <w:name w:val="Table Grid1"/>
    <w:basedOn w:val="TableNormal"/>
    <w:next w:val="TableGrid"/>
    <w:uiPriority w:val="59"/>
    <w:rsid w:val="00447BA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A28"/>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07A28"/>
    <w:pPr>
      <w:spacing w:after="0" w:line="360" w:lineRule="auto"/>
    </w:pPr>
    <w:rPr>
      <w:rFonts w:ascii="Times New Roman" w:eastAsia="Times New Roman" w:hAnsi="Times New Roman" w:cs="Times New Roman"/>
      <w:b/>
      <w:lang w:eastAsia="en-US"/>
    </w:rPr>
  </w:style>
  <w:style w:type="character" w:customStyle="1" w:styleId="SubtitleChar">
    <w:name w:val="Subtitle Char"/>
    <w:basedOn w:val="DefaultParagraphFont"/>
    <w:link w:val="Subtitle"/>
    <w:rsid w:val="00107A28"/>
    <w:rPr>
      <w:rFonts w:ascii="Times New Roman" w:eastAsia="Times New Roman" w:hAnsi="Times New Roman" w:cs="Times New Roman"/>
      <w:b/>
      <w:lang w:eastAsia="en-US"/>
    </w:rPr>
  </w:style>
  <w:style w:type="paragraph" w:styleId="ListParagraph">
    <w:name w:val="List Paragraph"/>
    <w:basedOn w:val="Normal"/>
    <w:uiPriority w:val="34"/>
    <w:qFormat/>
    <w:rsid w:val="00107A28"/>
    <w:pPr>
      <w:spacing w:after="0"/>
      <w:ind w:left="720"/>
      <w:contextualSpacing/>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B155CE"/>
    <w:pPr>
      <w:tabs>
        <w:tab w:val="center" w:pos="4320"/>
        <w:tab w:val="right" w:pos="8640"/>
      </w:tabs>
      <w:spacing w:after="0"/>
    </w:pPr>
  </w:style>
  <w:style w:type="character" w:customStyle="1" w:styleId="HeaderChar">
    <w:name w:val="Header Char"/>
    <w:basedOn w:val="DefaultParagraphFont"/>
    <w:link w:val="Header"/>
    <w:uiPriority w:val="99"/>
    <w:rsid w:val="00B155CE"/>
  </w:style>
  <w:style w:type="paragraph" w:styleId="Footer">
    <w:name w:val="footer"/>
    <w:basedOn w:val="Normal"/>
    <w:link w:val="FooterChar"/>
    <w:uiPriority w:val="99"/>
    <w:unhideWhenUsed/>
    <w:rsid w:val="00B155CE"/>
    <w:pPr>
      <w:tabs>
        <w:tab w:val="center" w:pos="4320"/>
        <w:tab w:val="right" w:pos="8640"/>
      </w:tabs>
      <w:spacing w:after="0"/>
    </w:pPr>
  </w:style>
  <w:style w:type="character" w:customStyle="1" w:styleId="FooterChar">
    <w:name w:val="Footer Char"/>
    <w:basedOn w:val="DefaultParagraphFont"/>
    <w:link w:val="Footer"/>
    <w:uiPriority w:val="99"/>
    <w:rsid w:val="00B155CE"/>
  </w:style>
  <w:style w:type="character" w:styleId="PageNumber">
    <w:name w:val="page number"/>
    <w:basedOn w:val="DefaultParagraphFont"/>
    <w:uiPriority w:val="99"/>
    <w:semiHidden/>
    <w:unhideWhenUsed/>
    <w:rsid w:val="00B155CE"/>
  </w:style>
  <w:style w:type="paragraph" w:customStyle="1" w:styleId="Default">
    <w:name w:val="Default"/>
    <w:rsid w:val="00424F2E"/>
    <w:pPr>
      <w:autoSpaceDE w:val="0"/>
      <w:autoSpaceDN w:val="0"/>
      <w:adjustRightInd w:val="0"/>
      <w:spacing w:after="0"/>
    </w:pPr>
    <w:rPr>
      <w:rFonts w:ascii="Times New Roman" w:hAnsi="Times New Roman" w:cs="Times New Roman"/>
      <w:color w:val="000000"/>
    </w:rPr>
  </w:style>
  <w:style w:type="table" w:customStyle="1" w:styleId="TableGrid1">
    <w:name w:val="Table Grid1"/>
    <w:basedOn w:val="TableNormal"/>
    <w:next w:val="TableGrid"/>
    <w:uiPriority w:val="59"/>
    <w:rsid w:val="00447BA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2</cp:revision>
  <cp:lastPrinted>2022-05-25T11:57:00Z</cp:lastPrinted>
  <dcterms:created xsi:type="dcterms:W3CDTF">2022-05-25T12:56:00Z</dcterms:created>
  <dcterms:modified xsi:type="dcterms:W3CDTF">2022-05-25T12:56:00Z</dcterms:modified>
</cp:coreProperties>
</file>