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9C8" w:rsidRPr="00EA307B" w:rsidRDefault="00EA307B" w:rsidP="00EA307B">
      <w:pPr>
        <w:shd w:val="clear" w:color="auto" w:fill="C6D9F1" w:themeFill="text2" w:themeFillTint="33"/>
        <w:jc w:val="center"/>
        <w:rPr>
          <w:rFonts w:ascii="Times New Roman" w:hAnsi="Times New Roman"/>
          <w:b/>
          <w:sz w:val="36"/>
        </w:rPr>
      </w:pPr>
      <w:r w:rsidRPr="00EA307B">
        <w:rPr>
          <w:rFonts w:ascii="Times New Roman" w:hAnsi="Times New Roman"/>
          <w:b/>
          <w:sz w:val="36"/>
        </w:rPr>
        <w:t>Florida Building Commission</w:t>
      </w:r>
    </w:p>
    <w:p w:rsidR="00EA307B" w:rsidRPr="00EA307B" w:rsidRDefault="00706AE3" w:rsidP="00EA307B">
      <w:pPr>
        <w:shd w:val="clear" w:color="auto" w:fill="C6D9F1" w:themeFill="text2" w:themeFillTint="33"/>
        <w:jc w:val="center"/>
        <w:rPr>
          <w:rFonts w:ascii="Times New Roman" w:hAnsi="Times New Roman"/>
          <w:b/>
        </w:rPr>
      </w:pPr>
      <w:r>
        <w:rPr>
          <w:rFonts w:ascii="Times New Roman" w:hAnsi="Times New Roman"/>
          <w:b/>
        </w:rPr>
        <w:t>June 7</w:t>
      </w:r>
      <w:r w:rsidR="00EA307B" w:rsidRPr="00EA307B">
        <w:rPr>
          <w:rFonts w:ascii="Times New Roman" w:hAnsi="Times New Roman"/>
          <w:b/>
        </w:rPr>
        <w:t>, 2022</w:t>
      </w:r>
    </w:p>
    <w:p w:rsidR="00EA307B" w:rsidRPr="00EA307B" w:rsidRDefault="00EA307B" w:rsidP="00EA307B">
      <w:pPr>
        <w:shd w:val="clear" w:color="auto" w:fill="C6D9F1"/>
        <w:jc w:val="center"/>
        <w:rPr>
          <w:rFonts w:ascii="Times New Roman" w:eastAsia="Times New Roman" w:hAnsi="Times New Roman"/>
          <w:color w:val="000000"/>
          <w:szCs w:val="22"/>
        </w:rPr>
      </w:pPr>
      <w:r w:rsidRPr="00EA307B">
        <w:rPr>
          <w:rFonts w:ascii="Times New Roman" w:eastAsia="Times New Roman" w:hAnsi="Times New Roman"/>
          <w:b/>
          <w:bCs/>
          <w:caps/>
          <w:color w:val="000000"/>
          <w:sz w:val="24"/>
          <w:szCs w:val="24"/>
        </w:rPr>
        <w:t>CONFERENCE CALL/WEBINAR</w:t>
      </w:r>
    </w:p>
    <w:p w:rsidR="00EA307B" w:rsidRPr="00EA307B" w:rsidRDefault="00EA307B" w:rsidP="00EA307B">
      <w:pPr>
        <w:shd w:val="clear" w:color="auto" w:fill="C6D9F1"/>
        <w:jc w:val="center"/>
        <w:rPr>
          <w:rFonts w:ascii="Times New Roman" w:eastAsia="Times New Roman" w:hAnsi="Times New Roman"/>
          <w:color w:val="000000"/>
          <w:szCs w:val="22"/>
        </w:rPr>
      </w:pPr>
      <w:r w:rsidRPr="00EA307B">
        <w:rPr>
          <w:rFonts w:ascii="Times New Roman" w:eastAsia="Times New Roman" w:hAnsi="Times New Roman"/>
          <w:b/>
          <w:bCs/>
          <w:color w:val="000000"/>
          <w:szCs w:val="22"/>
          <w:shd w:val="clear" w:color="auto" w:fill="C6D9F1"/>
        </w:rPr>
        <w:t>Tallahassee Florida</w:t>
      </w:r>
    </w:p>
    <w:p w:rsidR="00EA307B" w:rsidRDefault="00EA307B"/>
    <w:p w:rsidR="00EA307B" w:rsidRDefault="00706AE3" w:rsidP="00EA307B">
      <w:pPr>
        <w:shd w:val="clear" w:color="auto" w:fill="DDD9C3" w:themeFill="background2" w:themeFillShade="E6"/>
        <w:autoSpaceDE w:val="0"/>
        <w:autoSpaceDN w:val="0"/>
        <w:adjustRightInd w:val="0"/>
        <w:rPr>
          <w:rFonts w:ascii="Times New Roman" w:hAnsi="Times New Roman"/>
          <w:b/>
          <w:sz w:val="24"/>
          <w:szCs w:val="24"/>
        </w:rPr>
      </w:pPr>
      <w:r>
        <w:rPr>
          <w:rFonts w:ascii="Times New Roman" w:hAnsi="Times New Roman"/>
          <w:b/>
          <w:sz w:val="24"/>
          <w:szCs w:val="24"/>
        </w:rPr>
        <w:t>Code Administration Technical Advisory</w:t>
      </w:r>
      <w:r w:rsidR="00EA307B">
        <w:rPr>
          <w:rFonts w:ascii="Times New Roman" w:hAnsi="Times New Roman"/>
          <w:b/>
          <w:sz w:val="24"/>
          <w:szCs w:val="24"/>
        </w:rPr>
        <w:t xml:space="preserve"> Committee</w:t>
      </w:r>
    </w:p>
    <w:p w:rsidR="00EA307B" w:rsidRDefault="00EA307B" w:rsidP="00EA307B">
      <w:pPr>
        <w:autoSpaceDE w:val="0"/>
        <w:autoSpaceDN w:val="0"/>
        <w:adjustRightInd w:val="0"/>
        <w:rPr>
          <w:rFonts w:ascii="Times New Roman" w:hAnsi="Times New Roman"/>
          <w:b/>
          <w:sz w:val="24"/>
          <w:szCs w:val="24"/>
        </w:rPr>
      </w:pPr>
    </w:p>
    <w:p w:rsidR="00EA307B" w:rsidRDefault="00706AE3" w:rsidP="00EA307B">
      <w:pPr>
        <w:autoSpaceDE w:val="0"/>
        <w:autoSpaceDN w:val="0"/>
        <w:adjustRightInd w:val="0"/>
        <w:rPr>
          <w:rFonts w:ascii="Garamond" w:hAnsi="Garamond"/>
          <w:b/>
          <w:bCs/>
          <w:smallCaps/>
          <w:color w:val="000000"/>
          <w:szCs w:val="22"/>
        </w:rPr>
      </w:pPr>
      <w:r>
        <w:rPr>
          <w:rFonts w:ascii="Garamond" w:hAnsi="Garamond"/>
          <w:b/>
          <w:bCs/>
          <w:smallCaps/>
          <w:color w:val="000000"/>
          <w:szCs w:val="22"/>
        </w:rPr>
        <w:t> </w:t>
      </w:r>
      <w:hyperlink r:id="rId5" w:history="1">
        <w:proofErr w:type="gramStart"/>
        <w:r>
          <w:rPr>
            <w:rStyle w:val="Hyperlink"/>
            <w:rFonts w:ascii="Garamond" w:hAnsi="Garamond"/>
            <w:b/>
            <w:bCs/>
            <w:smallCaps/>
            <w:szCs w:val="22"/>
          </w:rPr>
          <w:t>DS 2022-014</w:t>
        </w:r>
      </w:hyperlink>
      <w:r>
        <w:rPr>
          <w:rFonts w:ascii="Garamond" w:hAnsi="Garamond"/>
          <w:b/>
          <w:bCs/>
          <w:smallCaps/>
          <w:color w:val="000000"/>
          <w:szCs w:val="22"/>
        </w:rPr>
        <w:t> by Brenton Franklin of Axis Management Inc.</w:t>
      </w:r>
      <w:proofErr w:type="gramEnd"/>
    </w:p>
    <w:p w:rsidR="00706AE3" w:rsidRPr="00EA307B" w:rsidRDefault="00706AE3" w:rsidP="00EA307B">
      <w:pPr>
        <w:autoSpaceDE w:val="0"/>
        <w:autoSpaceDN w:val="0"/>
        <w:adjustRightInd w:val="0"/>
        <w:rPr>
          <w:rFonts w:ascii="Times New Roman" w:hAnsi="Times New Roman"/>
          <w:b/>
          <w:sz w:val="24"/>
          <w:szCs w:val="24"/>
        </w:rPr>
      </w:pPr>
    </w:p>
    <w:p w:rsidR="00EA307B" w:rsidRPr="00EA307B" w:rsidRDefault="00EA307B" w:rsidP="00EA307B">
      <w:pPr>
        <w:autoSpaceDE w:val="0"/>
        <w:autoSpaceDN w:val="0"/>
        <w:adjustRightInd w:val="0"/>
        <w:rPr>
          <w:rFonts w:ascii="Times New Roman" w:hAnsi="Times New Roman"/>
          <w:sz w:val="24"/>
          <w:szCs w:val="24"/>
        </w:rPr>
      </w:pPr>
      <w:r w:rsidRPr="00EA307B">
        <w:rPr>
          <w:rFonts w:ascii="Times New Roman" w:hAnsi="Times New Roman"/>
          <w:b/>
          <w:sz w:val="24"/>
          <w:szCs w:val="24"/>
        </w:rPr>
        <w:t>Question</w:t>
      </w:r>
      <w:r w:rsidRPr="00EA307B">
        <w:rPr>
          <w:rFonts w:ascii="Times New Roman" w:hAnsi="Times New Roman"/>
          <w:sz w:val="24"/>
          <w:szCs w:val="24"/>
        </w:rPr>
        <w:t xml:space="preserve">: </w:t>
      </w:r>
    </w:p>
    <w:p w:rsidR="00706AE3" w:rsidRPr="00706AE3" w:rsidRDefault="00706AE3" w:rsidP="00706AE3">
      <w:pPr>
        <w:pStyle w:val="NormalWeb"/>
        <w:rPr>
          <w:rFonts w:ascii="Garamond" w:hAnsi="Garamond" w:cs="Calibri"/>
          <w:color w:val="000000"/>
          <w:szCs w:val="27"/>
        </w:rPr>
      </w:pPr>
      <w:r w:rsidRPr="00706AE3">
        <w:rPr>
          <w:rFonts w:ascii="Garamond" w:hAnsi="Garamond" w:cs="Calibri"/>
          <w:color w:val="000000"/>
          <w:szCs w:val="27"/>
        </w:rPr>
        <w:t>If, in accordance with the provisions of Section 553.791, a private provider performs building inspection services on a building project that has multiple permits in the same jurisdiction, and assuming the local building official does not identify a condition constituting an immediate threat to public safety and welfare, then:</w:t>
      </w:r>
    </w:p>
    <w:p w:rsidR="00706AE3" w:rsidRPr="00706AE3" w:rsidRDefault="00706AE3" w:rsidP="00706AE3">
      <w:pPr>
        <w:pStyle w:val="NormalWeb"/>
        <w:rPr>
          <w:rFonts w:ascii="Garamond" w:hAnsi="Garamond" w:cs="Calibri"/>
          <w:color w:val="000000"/>
          <w:szCs w:val="27"/>
        </w:rPr>
      </w:pPr>
      <w:r w:rsidRPr="00706AE3">
        <w:rPr>
          <w:rFonts w:ascii="Garamond" w:hAnsi="Garamond" w:cs="Calibri"/>
          <w:color w:val="000000"/>
          <w:szCs w:val="27"/>
        </w:rPr>
        <w:t>a) Is the local building code enforcement agency limited to auditing a maximum of four individual permit inspections (on a per permit basis) performed by the same private provider per month, or</w:t>
      </w:r>
    </w:p>
    <w:p w:rsidR="00706AE3" w:rsidRPr="00706AE3" w:rsidRDefault="00706AE3" w:rsidP="00706AE3">
      <w:pPr>
        <w:pStyle w:val="NormalWeb"/>
        <w:rPr>
          <w:rFonts w:ascii="Garamond" w:hAnsi="Garamond" w:cs="Calibri"/>
          <w:color w:val="000000"/>
          <w:szCs w:val="27"/>
        </w:rPr>
      </w:pPr>
      <w:r w:rsidRPr="00706AE3">
        <w:rPr>
          <w:rFonts w:ascii="Garamond" w:hAnsi="Garamond" w:cs="Calibri"/>
          <w:color w:val="000000"/>
          <w:szCs w:val="27"/>
        </w:rPr>
        <w:t>b) Does the local building code enforcement agency have the right to audit all of the private provider’s permit inspections for all of the permits issued for a building project in the jurisdiction up to four times per month?</w:t>
      </w:r>
    </w:p>
    <w:p w:rsidR="00EA307B" w:rsidRPr="00EA307B" w:rsidRDefault="00EA307B" w:rsidP="00EA307B">
      <w:pPr>
        <w:shd w:val="clear" w:color="auto" w:fill="FFFFFF"/>
        <w:outlineLvl w:val="0"/>
        <w:rPr>
          <w:rFonts w:ascii="Times New Roman" w:eastAsia="Times New Roman" w:hAnsi="Times New Roman"/>
          <w:b/>
          <w:sz w:val="24"/>
          <w:szCs w:val="24"/>
        </w:rPr>
      </w:pPr>
      <w:r w:rsidRPr="00EA307B">
        <w:rPr>
          <w:rFonts w:ascii="Times New Roman" w:eastAsia="Times New Roman" w:hAnsi="Times New Roman"/>
          <w:b/>
          <w:sz w:val="24"/>
          <w:szCs w:val="24"/>
        </w:rPr>
        <w:t>Answer:</w:t>
      </w:r>
    </w:p>
    <w:p w:rsidR="00706AE3" w:rsidRPr="00706AE3" w:rsidRDefault="00706AE3" w:rsidP="00706AE3">
      <w:pPr>
        <w:pStyle w:val="NormalWeb"/>
        <w:rPr>
          <w:rFonts w:ascii="Garamond" w:hAnsi="Garamond" w:cs="Calibri"/>
          <w:color w:val="000000"/>
        </w:rPr>
      </w:pPr>
      <w:r w:rsidRPr="00706AE3">
        <w:rPr>
          <w:rFonts w:ascii="Garamond" w:hAnsi="Garamond" w:cs="Calibri"/>
          <w:color w:val="000000"/>
        </w:rPr>
        <w:t xml:space="preserve">Because Petitioner seeks a statement which would determine the conduct of persons other than itself, and because the question is one of general applicability and not tied to any specific set of circumstances involving the Petitioner’s own potential conduct, </w:t>
      </w:r>
      <w:bookmarkStart w:id="0" w:name="_GoBack"/>
      <w:bookmarkEnd w:id="0"/>
      <w:r w:rsidRPr="00706AE3">
        <w:rPr>
          <w:rFonts w:ascii="Garamond" w:hAnsi="Garamond" w:cs="Calibri"/>
          <w:color w:val="000000"/>
        </w:rPr>
        <w:t>the Commission declines to answer.</w:t>
      </w:r>
    </w:p>
    <w:sectPr w:rsidR="00706AE3" w:rsidRPr="00706A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07B"/>
    <w:rsid w:val="00164DC7"/>
    <w:rsid w:val="00351A76"/>
    <w:rsid w:val="00706AE3"/>
    <w:rsid w:val="00EA307B"/>
    <w:rsid w:val="00F14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07B"/>
    <w:pPr>
      <w:spacing w:after="0" w:line="240" w:lineRule="auto"/>
    </w:pPr>
    <w:rPr>
      <w:rFonts w:ascii="Arial" w:eastAsia="Calibri"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06AE3"/>
    <w:rPr>
      <w:color w:val="0000FF"/>
      <w:u w:val="single"/>
    </w:rPr>
  </w:style>
  <w:style w:type="paragraph" w:styleId="NormalWeb">
    <w:name w:val="Normal (Web)"/>
    <w:basedOn w:val="Normal"/>
    <w:uiPriority w:val="99"/>
    <w:semiHidden/>
    <w:unhideWhenUsed/>
    <w:rsid w:val="00706AE3"/>
    <w:pPr>
      <w:spacing w:before="100" w:beforeAutospacing="1" w:after="100" w:afterAutospacing="1"/>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07B"/>
    <w:pPr>
      <w:spacing w:after="0" w:line="240" w:lineRule="auto"/>
    </w:pPr>
    <w:rPr>
      <w:rFonts w:ascii="Arial" w:eastAsia="Calibri"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06AE3"/>
    <w:rPr>
      <w:color w:val="0000FF"/>
      <w:u w:val="single"/>
    </w:rPr>
  </w:style>
  <w:style w:type="paragraph" w:styleId="NormalWeb">
    <w:name w:val="Normal (Web)"/>
    <w:basedOn w:val="Normal"/>
    <w:uiPriority w:val="99"/>
    <w:semiHidden/>
    <w:unhideWhenUsed/>
    <w:rsid w:val="00706AE3"/>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947165">
      <w:bodyDiv w:val="1"/>
      <w:marLeft w:val="0"/>
      <w:marRight w:val="0"/>
      <w:marTop w:val="0"/>
      <w:marBottom w:val="0"/>
      <w:divBdr>
        <w:top w:val="none" w:sz="0" w:space="0" w:color="auto"/>
        <w:left w:val="none" w:sz="0" w:space="0" w:color="auto"/>
        <w:bottom w:val="none" w:sz="0" w:space="0" w:color="auto"/>
        <w:right w:val="none" w:sz="0" w:space="0" w:color="auto"/>
      </w:divBdr>
    </w:div>
    <w:div w:id="699286096">
      <w:bodyDiv w:val="1"/>
      <w:marLeft w:val="0"/>
      <w:marRight w:val="0"/>
      <w:marTop w:val="0"/>
      <w:marBottom w:val="0"/>
      <w:divBdr>
        <w:top w:val="none" w:sz="0" w:space="0" w:color="auto"/>
        <w:left w:val="none" w:sz="0" w:space="0" w:color="auto"/>
        <w:bottom w:val="none" w:sz="0" w:space="0" w:color="auto"/>
        <w:right w:val="none" w:sz="0" w:space="0" w:color="auto"/>
      </w:divBdr>
    </w:div>
    <w:div w:id="128399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loridabuilding.org/fbc/commission/FBC_0622/DEC_Statements/DS-2022-014.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202</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Bigelow, Joe</dc:creator>
  <cp:lastModifiedBy>Madani, Mo</cp:lastModifiedBy>
  <cp:revision>3</cp:revision>
  <dcterms:created xsi:type="dcterms:W3CDTF">2022-05-27T15:01:00Z</dcterms:created>
  <dcterms:modified xsi:type="dcterms:W3CDTF">2022-05-27T15:31:00Z</dcterms:modified>
</cp:coreProperties>
</file>