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7BA" w:rsidRPr="00E267BA" w:rsidRDefault="00E267BA" w:rsidP="00E267BA">
      <w:pPr>
        <w:shd w:val="clear" w:color="auto" w:fill="C6D9F1"/>
        <w:spacing w:after="0" w:line="240" w:lineRule="auto"/>
        <w:jc w:val="center"/>
        <w:rPr>
          <w:rFonts w:ascii="Garamond" w:eastAsia="Times New Roman" w:hAnsi="Garamond" w:cs="Arial"/>
          <w:color w:val="000000"/>
        </w:rPr>
      </w:pPr>
      <w:r w:rsidRPr="00E267BA">
        <w:rPr>
          <w:rFonts w:ascii="Garamond" w:eastAsia="Times New Roman" w:hAnsi="Garamond" w:cs="Times New Roman"/>
          <w:b/>
          <w:bCs/>
          <w:color w:val="000000"/>
          <w:sz w:val="36"/>
          <w:szCs w:val="36"/>
        </w:rPr>
        <w:t>Florida Building Commission</w:t>
      </w:r>
    </w:p>
    <w:p w:rsidR="00E267BA" w:rsidRPr="00E267BA" w:rsidRDefault="006810DA" w:rsidP="00E267BA">
      <w:pPr>
        <w:shd w:val="clear" w:color="auto" w:fill="C6D9F1"/>
        <w:spacing w:after="0" w:line="240" w:lineRule="auto"/>
        <w:jc w:val="center"/>
        <w:rPr>
          <w:rFonts w:ascii="Garamond" w:eastAsia="Times New Roman" w:hAnsi="Garamond" w:cs="Arial"/>
          <w:color w:val="000000"/>
        </w:rPr>
      </w:pPr>
      <w:r>
        <w:rPr>
          <w:rFonts w:ascii="Garamond" w:eastAsia="Times New Roman" w:hAnsi="Garamond" w:cs="Times New Roman"/>
          <w:b/>
          <w:bCs/>
          <w:caps/>
          <w:color w:val="000000"/>
          <w:sz w:val="24"/>
          <w:szCs w:val="24"/>
        </w:rPr>
        <w:t>June 8</w:t>
      </w:r>
      <w:r w:rsidR="00E267BA" w:rsidRPr="00E267BA">
        <w:rPr>
          <w:rFonts w:ascii="Garamond" w:eastAsia="Times New Roman" w:hAnsi="Garamond" w:cs="Times New Roman"/>
          <w:b/>
          <w:bCs/>
          <w:caps/>
          <w:color w:val="000000"/>
          <w:sz w:val="24"/>
          <w:szCs w:val="24"/>
        </w:rPr>
        <w:t>, 202</w:t>
      </w:r>
      <w:r w:rsidR="00BF685B">
        <w:rPr>
          <w:rFonts w:ascii="Garamond" w:eastAsia="Times New Roman" w:hAnsi="Garamond" w:cs="Times New Roman"/>
          <w:b/>
          <w:bCs/>
          <w:caps/>
          <w:color w:val="000000"/>
          <w:sz w:val="24"/>
          <w:szCs w:val="24"/>
        </w:rPr>
        <w:t>1</w:t>
      </w:r>
    </w:p>
    <w:p w:rsidR="00E267BA" w:rsidRPr="00E267BA" w:rsidRDefault="00E267BA" w:rsidP="00E267BA">
      <w:pPr>
        <w:shd w:val="clear" w:color="auto" w:fill="C6D9F1"/>
        <w:spacing w:after="0" w:line="240" w:lineRule="auto"/>
        <w:jc w:val="center"/>
        <w:rPr>
          <w:rFonts w:ascii="Garamond" w:eastAsia="Times New Roman" w:hAnsi="Garamond" w:cs="Arial"/>
          <w:color w:val="000000"/>
        </w:rPr>
      </w:pPr>
      <w:r w:rsidRPr="00E267BA">
        <w:rPr>
          <w:rFonts w:ascii="Garamond" w:eastAsia="Times New Roman" w:hAnsi="Garamond" w:cs="Times New Roman"/>
          <w:b/>
          <w:bCs/>
          <w:caps/>
          <w:color w:val="000000"/>
          <w:sz w:val="24"/>
          <w:szCs w:val="24"/>
        </w:rPr>
        <w:t>CONFERENCE CALL/WEBINAR</w:t>
      </w:r>
    </w:p>
    <w:p w:rsidR="00E267BA" w:rsidRPr="00E267BA" w:rsidRDefault="00E267BA" w:rsidP="00E267BA">
      <w:pPr>
        <w:shd w:val="clear" w:color="auto" w:fill="C6D9F1"/>
        <w:spacing w:after="0" w:line="240" w:lineRule="auto"/>
        <w:jc w:val="center"/>
        <w:rPr>
          <w:rFonts w:ascii="Garamond" w:eastAsia="Times New Roman" w:hAnsi="Garamond" w:cs="Arial"/>
          <w:color w:val="000000"/>
        </w:rPr>
      </w:pPr>
      <w:r w:rsidRPr="00E267BA">
        <w:rPr>
          <w:rFonts w:ascii="Garamond" w:eastAsia="Times New Roman" w:hAnsi="Garamond" w:cs="Times New Roman"/>
          <w:b/>
          <w:bCs/>
          <w:color w:val="000000"/>
          <w:shd w:val="clear" w:color="auto" w:fill="C6D9F1"/>
        </w:rPr>
        <w:t>Tallahassee Florida</w:t>
      </w:r>
    </w:p>
    <w:p w:rsidR="00E267BA" w:rsidRPr="00E267BA" w:rsidRDefault="00E267BA" w:rsidP="00BF685B">
      <w:pPr>
        <w:shd w:val="clear" w:color="auto" w:fill="9CC2E5" w:themeFill="accent5" w:themeFillTint="99"/>
        <w:spacing w:after="0" w:line="240" w:lineRule="auto"/>
        <w:rPr>
          <w:rFonts w:ascii="Garamond" w:eastAsia="Times New Roman" w:hAnsi="Garamond" w:cs="Arial"/>
          <w:color w:val="000000"/>
        </w:rPr>
      </w:pPr>
      <w:r w:rsidRPr="00E267BA">
        <w:rPr>
          <w:rFonts w:ascii="Garamond" w:eastAsia="Times New Roman" w:hAnsi="Garamond" w:cs="Times New Roman"/>
          <w:color w:val="000000"/>
          <w:sz w:val="28"/>
          <w:szCs w:val="28"/>
        </w:rPr>
        <w:t> </w:t>
      </w:r>
    </w:p>
    <w:p w:rsidR="00E267BA" w:rsidRPr="00E267BA" w:rsidRDefault="00E267BA" w:rsidP="00E267BA">
      <w:pPr>
        <w:shd w:val="clear" w:color="auto" w:fill="C6D9F1"/>
        <w:spacing w:after="0" w:line="240" w:lineRule="auto"/>
        <w:jc w:val="center"/>
        <w:rPr>
          <w:rFonts w:ascii="Garamond" w:eastAsia="Times New Roman" w:hAnsi="Garamond" w:cs="Arial"/>
          <w:color w:val="000000"/>
        </w:rPr>
      </w:pPr>
      <w:r w:rsidRPr="00E267BA">
        <w:rPr>
          <w:rFonts w:ascii="Garamond" w:eastAsia="Times New Roman" w:hAnsi="Garamond" w:cs="Times New Roman"/>
          <w:b/>
          <w:bCs/>
          <w:caps/>
          <w:color w:val="000000"/>
          <w:spacing w:val="20"/>
          <w:sz w:val="32"/>
          <w:szCs w:val="32"/>
        </w:rPr>
        <w:t>LEGAL REPORT</w:t>
      </w:r>
    </w:p>
    <w:p w:rsidR="00E267BA" w:rsidRPr="00E267BA" w:rsidRDefault="00E267BA" w:rsidP="00AA3C63">
      <w:pPr>
        <w:shd w:val="clear" w:color="auto" w:fill="FFFFFF"/>
        <w:spacing w:after="0" w:line="240" w:lineRule="auto"/>
        <w:jc w:val="center"/>
        <w:rPr>
          <w:rFonts w:ascii="Garamond" w:eastAsia="Times New Roman" w:hAnsi="Garamond" w:cs="Arial"/>
          <w:color w:val="000000"/>
        </w:rPr>
      </w:pPr>
      <w:r w:rsidRPr="00E267BA">
        <w:rPr>
          <w:rFonts w:ascii="Garamond" w:eastAsia="Times New Roman" w:hAnsi="Garamond" w:cs="Times New Roman"/>
          <w:b/>
          <w:bCs/>
          <w:color w:val="000000"/>
          <w:sz w:val="32"/>
          <w:szCs w:val="32"/>
        </w:rPr>
        <w:t>  </w:t>
      </w:r>
    </w:p>
    <w:p w:rsidR="00E267BA" w:rsidRPr="00E267BA" w:rsidRDefault="00E267BA" w:rsidP="00E267BA">
      <w:pPr>
        <w:shd w:val="clear" w:color="auto" w:fill="7F7F7F"/>
        <w:spacing w:after="0" w:line="240" w:lineRule="auto"/>
        <w:rPr>
          <w:rFonts w:ascii="Garamond" w:eastAsia="Times New Roman" w:hAnsi="Garamond" w:cs="Arial"/>
          <w:color w:val="000000"/>
        </w:rPr>
      </w:pPr>
      <w:r w:rsidRPr="00E267BA">
        <w:rPr>
          <w:rFonts w:ascii="Garamond" w:eastAsia="Times New Roman" w:hAnsi="Garamond" w:cs="Times New Roman"/>
          <w:b/>
          <w:bCs/>
          <w:color w:val="FFFFFF"/>
        </w:rPr>
        <w:t>STRUCTURAL TECHNICAL ADVISORY COMMITTEE</w:t>
      </w:r>
      <w:r w:rsidRPr="00BF685B">
        <w:rPr>
          <w:rFonts w:ascii="Garamond" w:eastAsia="Times New Roman" w:hAnsi="Garamond" w:cs="Times New Roman"/>
          <w:b/>
          <w:bCs/>
          <w:color w:val="FFFFFF"/>
        </w:rPr>
        <w:t xml:space="preserve"> </w:t>
      </w:r>
    </w:p>
    <w:p w:rsidR="00E267BA" w:rsidRPr="00E267BA" w:rsidRDefault="00E267BA" w:rsidP="00E267BA">
      <w:pPr>
        <w:shd w:val="clear" w:color="auto" w:fill="FFFFFF"/>
        <w:spacing w:after="0" w:line="240" w:lineRule="auto"/>
        <w:rPr>
          <w:rFonts w:ascii="Garamond" w:eastAsia="Times New Roman" w:hAnsi="Garamond" w:cs="Arial"/>
          <w:color w:val="000000"/>
        </w:rPr>
      </w:pPr>
      <w:r w:rsidRPr="00E267BA">
        <w:rPr>
          <w:rFonts w:ascii="Garamond" w:eastAsia="Times New Roman" w:hAnsi="Garamond" w:cs="Times New Roman"/>
          <w:color w:val="000000"/>
        </w:rPr>
        <w:t> </w:t>
      </w:r>
    </w:p>
    <w:p w:rsidR="00E267BA" w:rsidRPr="006810DA" w:rsidRDefault="006810DA" w:rsidP="00E267BA">
      <w:pPr>
        <w:shd w:val="clear" w:color="auto" w:fill="FDF0CF"/>
        <w:spacing w:after="0" w:line="240" w:lineRule="auto"/>
        <w:rPr>
          <w:rFonts w:ascii="Garamond" w:eastAsia="Times New Roman" w:hAnsi="Garamond" w:cs="Arial"/>
          <w:color w:val="000000"/>
        </w:rPr>
      </w:pPr>
      <w:r>
        <w:rPr>
          <w:b/>
          <w:bCs/>
          <w:color w:val="000000"/>
          <w:sz w:val="14"/>
          <w:szCs w:val="14"/>
        </w:rPr>
        <w:t>  </w:t>
      </w:r>
      <w:r w:rsidRPr="006810DA">
        <w:rPr>
          <w:rStyle w:val="normalchar"/>
          <w:rFonts w:ascii="Garamond" w:hAnsi="Garamond"/>
          <w:b/>
          <w:bCs/>
          <w:color w:val="000000"/>
        </w:rPr>
        <w:t>DS 2021-015 by Paul Danforth of GFA International, Inc.</w:t>
      </w:r>
      <w:r w:rsidR="00E267BA" w:rsidRPr="006810DA">
        <w:rPr>
          <w:rFonts w:ascii="Garamond" w:eastAsia="Times New Roman" w:hAnsi="Garamond" w:cs="Times New Roman"/>
          <w:b/>
          <w:bCs/>
          <w:color w:val="000000"/>
          <w:sz w:val="24"/>
          <w:szCs w:val="24"/>
        </w:rPr>
        <w:t> </w:t>
      </w:r>
    </w:p>
    <w:p w:rsidR="00E267BA" w:rsidRPr="00BF685B" w:rsidRDefault="00E267BA" w:rsidP="00BF685B">
      <w:pPr>
        <w:shd w:val="clear" w:color="auto" w:fill="FFFFFF"/>
        <w:spacing w:after="0" w:line="240" w:lineRule="auto"/>
        <w:ind w:firstLine="360"/>
        <w:rPr>
          <w:rFonts w:ascii="Garamond" w:eastAsia="Times New Roman" w:hAnsi="Garamond" w:cs="Arial"/>
          <w:i/>
          <w:iCs/>
          <w:color w:val="000000"/>
        </w:rPr>
      </w:pPr>
      <w:r w:rsidRPr="00E267BA">
        <w:rPr>
          <w:rFonts w:ascii="Garamond" w:eastAsia="Times New Roman" w:hAnsi="Garamond" w:cs="Times New Roman"/>
          <w:b/>
          <w:bCs/>
          <w:i/>
          <w:iCs/>
          <w:color w:val="000000"/>
          <w:sz w:val="24"/>
          <w:szCs w:val="24"/>
        </w:rPr>
        <w:t>TAC</w:t>
      </w:r>
      <w:r w:rsidR="006810DA">
        <w:rPr>
          <w:rFonts w:ascii="Garamond" w:eastAsia="Times New Roman" w:hAnsi="Garamond" w:cs="Times New Roman"/>
          <w:b/>
          <w:bCs/>
          <w:i/>
          <w:iCs/>
          <w:color w:val="000000"/>
          <w:sz w:val="24"/>
          <w:szCs w:val="24"/>
        </w:rPr>
        <w:t xml:space="preserve"> </w:t>
      </w:r>
      <w:r w:rsidRPr="00E267BA">
        <w:rPr>
          <w:rFonts w:ascii="Garamond" w:eastAsia="Times New Roman" w:hAnsi="Garamond" w:cs="Times New Roman"/>
          <w:b/>
          <w:bCs/>
          <w:i/>
          <w:iCs/>
          <w:color w:val="000000"/>
          <w:sz w:val="24"/>
          <w:szCs w:val="24"/>
        </w:rPr>
        <w:t>ACTION:</w:t>
      </w:r>
    </w:p>
    <w:p w:rsidR="006810DA" w:rsidRDefault="006810DA" w:rsidP="006810DA">
      <w:pPr>
        <w:rPr>
          <w:rFonts w:ascii="Garamond" w:hAnsi="Garamond"/>
        </w:rPr>
      </w:pPr>
      <w:r w:rsidRPr="006810DA">
        <w:rPr>
          <w:rFonts w:ascii="Garamond" w:hAnsi="Garamond"/>
          <w:b/>
          <w:bCs/>
          <w:shd w:val="clear" w:color="auto" w:fill="BFBFBF" w:themeFill="background1" w:themeFillShade="BF"/>
        </w:rPr>
        <w:t>Question 1:</w:t>
      </w:r>
      <w:r w:rsidRPr="006810DA">
        <w:rPr>
          <w:rFonts w:ascii="Garamond" w:hAnsi="Garamond"/>
        </w:rPr>
        <w:t xml:space="preserve"> As it pertains to the modular home described in Project #1, do the locations set forth in R317.1.1 through R317.1.7 (“Required Locations”) encompass all locations requiring wood treatment as contemplated by Section R318.1.8? </w:t>
      </w:r>
    </w:p>
    <w:p w:rsidR="006810DA" w:rsidRPr="006810DA" w:rsidRDefault="006810DA" w:rsidP="006810DA">
      <w:pPr>
        <w:ind w:left="360"/>
        <w:rPr>
          <w:rFonts w:ascii="Garamond" w:hAnsi="Garamond"/>
        </w:rPr>
      </w:pPr>
      <w:r w:rsidRPr="006810DA">
        <w:rPr>
          <w:rFonts w:ascii="Garamond" w:hAnsi="Garamond"/>
          <w:b/>
          <w:bCs/>
          <w:shd w:val="clear" w:color="auto" w:fill="BFBFBF" w:themeFill="background1" w:themeFillShade="BF"/>
        </w:rPr>
        <w:t>Answer:</w:t>
      </w:r>
      <w:r>
        <w:rPr>
          <w:rFonts w:ascii="Garamond" w:hAnsi="Garamond"/>
        </w:rPr>
        <w:t xml:space="preserve"> </w:t>
      </w:r>
      <w:r w:rsidRPr="006810DA">
        <w:rPr>
          <w:rFonts w:ascii="Garamond" w:hAnsi="Garamond"/>
        </w:rPr>
        <w:t>As per the definition of the term “Registered Termiticide” of Chapter 2 Definition and Section R318.1.8 of the 7th Edition (2020) Florida Building Code, Residential, the application/required locations and specification of wood treatment termiticide as contemplated by Section R318.1.8 must be as required by label direction for use and as listed by the Florida Department of Agriculture and Consumer Services.</w:t>
      </w:r>
    </w:p>
    <w:p w:rsidR="006810DA" w:rsidRDefault="006810DA" w:rsidP="006810DA">
      <w:pPr>
        <w:rPr>
          <w:rFonts w:ascii="Garamond" w:hAnsi="Garamond"/>
        </w:rPr>
      </w:pPr>
      <w:r w:rsidRPr="006810DA">
        <w:rPr>
          <w:rFonts w:ascii="Garamond" w:hAnsi="Garamond"/>
          <w:b/>
          <w:bCs/>
          <w:shd w:val="clear" w:color="auto" w:fill="BFBFBF" w:themeFill="background1" w:themeFillShade="BF"/>
        </w:rPr>
        <w:t>Question 2:</w:t>
      </w:r>
      <w:r w:rsidRPr="006810DA">
        <w:rPr>
          <w:rFonts w:ascii="Garamond" w:hAnsi="Garamond"/>
        </w:rPr>
        <w:t xml:space="preserve"> As it pertains to the modular home described in Project #1, if the wood in locations set forth in R317.1.1 through R317.1.7 (“Required Locations”) is treated in accordance with Section R318.1.8, is soil applied pesticides OR baiting systems in accordance with R318.1.1 through R318.1.7 required? </w:t>
      </w:r>
    </w:p>
    <w:p w:rsidR="006810DA" w:rsidRPr="006810DA" w:rsidRDefault="006810DA" w:rsidP="006810DA">
      <w:pPr>
        <w:ind w:left="720"/>
        <w:rPr>
          <w:rFonts w:ascii="Garamond" w:hAnsi="Garamond"/>
        </w:rPr>
      </w:pPr>
      <w:r w:rsidRPr="006810DA">
        <w:rPr>
          <w:rFonts w:ascii="Garamond" w:hAnsi="Garamond"/>
          <w:b/>
          <w:bCs/>
          <w:shd w:val="clear" w:color="auto" w:fill="BFBFBF" w:themeFill="background1" w:themeFillShade="BF"/>
        </w:rPr>
        <w:t>Answer:</w:t>
      </w:r>
      <w:r>
        <w:rPr>
          <w:rFonts w:ascii="Garamond" w:hAnsi="Garamond"/>
        </w:rPr>
        <w:t xml:space="preserve"> </w:t>
      </w:r>
      <w:r w:rsidRPr="006810DA">
        <w:rPr>
          <w:rFonts w:ascii="Garamond" w:hAnsi="Garamond"/>
        </w:rPr>
        <w:t>As per the definition of the term “Registered Termiticide” of Chapter 2 Definition and Section R318.1.8 of the 7th Edition (2020) Florida Building Code, Residential, the application/required locations and specification of wood treatment termiticide as contemplated by Section R 318.1.8 must be as required by label direction for use and as listed by the Florida Department of Agriculture and Consumer Services. In addition, as per Section R318.1.8, if a registered wood treatment termiticide is used for subterranean termite prevention, Section R318.1.1 through R318.1.6 of the 7th Edition (2020) Florida Building Code, Residential do not apply.</w:t>
      </w:r>
    </w:p>
    <w:p w:rsidR="006810DA" w:rsidRDefault="006810DA" w:rsidP="006810DA">
      <w:pPr>
        <w:rPr>
          <w:rFonts w:ascii="Garamond" w:eastAsia="Times New Roman" w:hAnsi="Garamond" w:cs="Times New Roman"/>
          <w:b/>
          <w:bCs/>
          <w:color w:val="FFFFFF"/>
        </w:rPr>
      </w:pPr>
      <w:r w:rsidRPr="006810DA">
        <w:rPr>
          <w:rFonts w:ascii="Garamond" w:hAnsi="Garamond"/>
          <w:b/>
          <w:bCs/>
          <w:shd w:val="clear" w:color="auto" w:fill="BFBFBF" w:themeFill="background1" w:themeFillShade="BF"/>
        </w:rPr>
        <w:t>Question 3:</w:t>
      </w:r>
      <w:r w:rsidRPr="006810DA">
        <w:rPr>
          <w:rFonts w:ascii="Garamond" w:hAnsi="Garamond"/>
        </w:rPr>
        <w:t xml:space="preserve"> R317 requires protection of wood and wood-based products from decay in the locations specified in R317.1.1 to R317.1.7 </w:t>
      </w:r>
      <w:proofErr w:type="gramStart"/>
      <w:r w:rsidRPr="006810DA">
        <w:rPr>
          <w:rFonts w:ascii="Garamond" w:hAnsi="Garamond"/>
        </w:rPr>
        <w:t>by the use of</w:t>
      </w:r>
      <w:proofErr w:type="gramEnd"/>
      <w:r w:rsidRPr="006810DA">
        <w:rPr>
          <w:rFonts w:ascii="Garamond" w:hAnsi="Garamond"/>
        </w:rPr>
        <w:t xml:space="preserve"> naturally durable wood or wood that is preservative-treated in accordance with AWPA U1 for the species, product, preservative, and end use. Wood which is preservative-treated in accordance with AWPA U1 provides termite protection labeled for use as a preventative treatment. Is the use of preservative treated wood in accordance with the provisions of Section R317.1 an approved method of subterranean termite control?</w:t>
      </w:r>
      <w:r>
        <w:rPr>
          <w:rFonts w:ascii="Garamond" w:eastAsia="Times New Roman" w:hAnsi="Garamond" w:cs="Times New Roman"/>
          <w:b/>
          <w:bCs/>
          <w:color w:val="FFFFFF"/>
        </w:rPr>
        <w:t xml:space="preserve"> T</w:t>
      </w:r>
    </w:p>
    <w:p w:rsidR="00AA3C63" w:rsidRPr="00E267BA" w:rsidRDefault="006810DA" w:rsidP="006810DA">
      <w:pPr>
        <w:ind w:left="540"/>
        <w:rPr>
          <w:rFonts w:ascii="Garamond" w:eastAsia="Times New Roman" w:hAnsi="Garamond" w:cs="Arial"/>
          <w:color w:val="000000"/>
        </w:rPr>
      </w:pPr>
      <w:r w:rsidRPr="006810DA">
        <w:rPr>
          <w:rFonts w:ascii="Garamond" w:eastAsia="Times New Roman" w:hAnsi="Garamond" w:cs="Times New Roman"/>
          <w:b/>
          <w:bCs/>
          <w:color w:val="000000" w:themeColor="text1"/>
          <w:shd w:val="clear" w:color="auto" w:fill="BFBFBF" w:themeFill="background1" w:themeFillShade="BF"/>
        </w:rPr>
        <w:t xml:space="preserve">Answer: </w:t>
      </w:r>
      <w:r>
        <w:rPr>
          <w:rFonts w:ascii="Garamond" w:eastAsia="Times New Roman" w:hAnsi="Garamond" w:cs="Times New Roman"/>
          <w:b/>
          <w:bCs/>
          <w:color w:val="FFFFFF"/>
        </w:rPr>
        <w:t xml:space="preserve"> </w:t>
      </w:r>
      <w:r w:rsidRPr="006810DA">
        <w:rPr>
          <w:rFonts w:ascii="Garamond" w:hAnsi="Garamond"/>
        </w:rPr>
        <w:t xml:space="preserve">The answer to the Petitioner’s question is no. As per the current listing of approved termiticides (see attached letter and listing from Florida Department of Agriculture and Consumer Services) AWPA U1 is not an approved wood treatment termiticide. </w:t>
      </w:r>
      <w:r w:rsidRPr="006810DA">
        <w:rPr>
          <w:rFonts w:ascii="Garamond" w:eastAsia="Times New Roman" w:hAnsi="Garamond" w:cs="Times New Roman"/>
          <w:color w:val="FFFFFF"/>
        </w:rPr>
        <w:t>HANICAL</w:t>
      </w:r>
      <w:r>
        <w:rPr>
          <w:rFonts w:ascii="Garamond" w:eastAsia="Times New Roman" w:hAnsi="Garamond" w:cs="Times New Roman"/>
          <w:b/>
          <w:bCs/>
          <w:color w:val="FFFFFF"/>
        </w:rPr>
        <w:t xml:space="preserve"> TECHNICAL ADVISORY COMMITTEE</w:t>
      </w:r>
    </w:p>
    <w:p w:rsidR="00273F8D" w:rsidRPr="00E267BA" w:rsidRDefault="00273F8D" w:rsidP="00273F8D">
      <w:pPr>
        <w:shd w:val="clear" w:color="auto" w:fill="7F7F7F"/>
        <w:spacing w:after="0" w:line="240" w:lineRule="auto"/>
        <w:rPr>
          <w:rFonts w:ascii="Garamond" w:eastAsia="Times New Roman" w:hAnsi="Garamond" w:cs="Arial"/>
          <w:color w:val="000000"/>
        </w:rPr>
      </w:pPr>
      <w:r>
        <w:rPr>
          <w:rFonts w:ascii="Garamond" w:eastAsia="Times New Roman" w:hAnsi="Garamond" w:cs="Times New Roman"/>
          <w:b/>
          <w:bCs/>
          <w:color w:val="FFFFFF"/>
        </w:rPr>
        <w:t>ENERGY</w:t>
      </w:r>
      <w:r w:rsidRPr="00E267BA">
        <w:rPr>
          <w:rFonts w:ascii="Garamond" w:eastAsia="Times New Roman" w:hAnsi="Garamond" w:cs="Times New Roman"/>
          <w:b/>
          <w:bCs/>
          <w:color w:val="FFFFFF"/>
        </w:rPr>
        <w:t xml:space="preserve"> TECHNICAL ADVISORY COMMITTEE</w:t>
      </w:r>
      <w:r w:rsidRPr="00BF685B">
        <w:rPr>
          <w:rFonts w:ascii="Garamond" w:eastAsia="Times New Roman" w:hAnsi="Garamond" w:cs="Times New Roman"/>
          <w:b/>
          <w:bCs/>
          <w:color w:val="FFFFFF"/>
        </w:rPr>
        <w:t xml:space="preserve"> </w:t>
      </w:r>
      <w:r>
        <w:rPr>
          <w:rFonts w:ascii="Garamond" w:eastAsia="Times New Roman" w:hAnsi="Garamond" w:cs="Times New Roman"/>
          <w:b/>
          <w:bCs/>
          <w:color w:val="FFFFFF"/>
        </w:rPr>
        <w:t xml:space="preserve"> CONCURRENT WITH THE MECHANICAL TECHNICAL ADVISORY COMMITTEE</w:t>
      </w:r>
    </w:p>
    <w:p w:rsidR="00BF685B" w:rsidRPr="00BF685B" w:rsidRDefault="00BF685B">
      <w:pPr>
        <w:rPr>
          <w:rStyle w:val="normalchar"/>
          <w:rFonts w:ascii="Garamond" w:hAnsi="Garamond"/>
          <w:b/>
          <w:bCs/>
          <w:color w:val="000000"/>
        </w:rPr>
      </w:pPr>
    </w:p>
    <w:p w:rsidR="00E267BA" w:rsidRPr="006810DA" w:rsidRDefault="00E267BA" w:rsidP="00BF685B">
      <w:pPr>
        <w:shd w:val="clear" w:color="auto" w:fill="FFF2CC" w:themeFill="accent4" w:themeFillTint="33"/>
        <w:rPr>
          <w:rStyle w:val="normalchar"/>
          <w:rFonts w:ascii="Garamond" w:hAnsi="Garamond"/>
          <w:b/>
          <w:bCs/>
          <w:color w:val="000000"/>
        </w:rPr>
      </w:pPr>
      <w:r w:rsidRPr="00BF685B">
        <w:rPr>
          <w:rFonts w:ascii="Garamond" w:hAnsi="Garamond"/>
          <w:color w:val="000000"/>
          <w:sz w:val="14"/>
          <w:szCs w:val="14"/>
        </w:rPr>
        <w:t> </w:t>
      </w:r>
      <w:r w:rsidR="006810DA" w:rsidRPr="006810DA">
        <w:rPr>
          <w:rFonts w:ascii="Garamond" w:hAnsi="Garamond"/>
          <w:b/>
          <w:bCs/>
          <w:sz w:val="27"/>
          <w:szCs w:val="27"/>
        </w:rPr>
        <w:t>DS 2021-023 by Pete </w:t>
      </w:r>
      <w:r w:rsidR="006810DA" w:rsidRPr="006810DA">
        <w:rPr>
          <w:rStyle w:val="spelle1"/>
          <w:rFonts w:ascii="Garamond" w:hAnsi="Garamond"/>
          <w:b/>
          <w:bCs/>
          <w:color w:val="0000FF"/>
          <w:sz w:val="27"/>
          <w:szCs w:val="27"/>
          <w:u w:val="single"/>
        </w:rPr>
        <w:t>Quintela</w:t>
      </w:r>
      <w:r w:rsidR="006810DA" w:rsidRPr="006810DA">
        <w:rPr>
          <w:rFonts w:ascii="Garamond" w:hAnsi="Garamond"/>
          <w:b/>
          <w:bCs/>
          <w:sz w:val="27"/>
          <w:szCs w:val="27"/>
        </w:rPr>
        <w:t> of Miami-Dade County</w:t>
      </w:r>
    </w:p>
    <w:p w:rsidR="00BF685B" w:rsidRPr="00E267BA" w:rsidRDefault="00BF685B" w:rsidP="00BF685B">
      <w:pPr>
        <w:shd w:val="clear" w:color="auto" w:fill="FFFFFF"/>
        <w:spacing w:after="0" w:line="240" w:lineRule="auto"/>
        <w:ind w:firstLine="360"/>
        <w:rPr>
          <w:rFonts w:ascii="Garamond" w:eastAsia="Times New Roman" w:hAnsi="Garamond" w:cs="Arial"/>
          <w:i/>
          <w:iCs/>
          <w:color w:val="000000"/>
        </w:rPr>
      </w:pPr>
      <w:r w:rsidRPr="00E267BA">
        <w:rPr>
          <w:rFonts w:ascii="Garamond" w:eastAsia="Times New Roman" w:hAnsi="Garamond" w:cs="Times New Roman"/>
          <w:b/>
          <w:bCs/>
          <w:i/>
          <w:iCs/>
          <w:color w:val="000000"/>
          <w:sz w:val="24"/>
          <w:szCs w:val="24"/>
        </w:rPr>
        <w:t>TAC ACTION:</w:t>
      </w:r>
    </w:p>
    <w:p w:rsidR="006810DA" w:rsidRDefault="006810DA" w:rsidP="006810DA">
      <w:pPr>
        <w:spacing w:after="0" w:line="240" w:lineRule="auto"/>
        <w:rPr>
          <w:rFonts w:ascii="Garamond" w:hAnsi="Garamond"/>
        </w:rPr>
      </w:pPr>
      <w:r w:rsidRPr="006810DA">
        <w:rPr>
          <w:rFonts w:ascii="Garamond" w:hAnsi="Garamond"/>
          <w:b/>
          <w:bCs/>
          <w:shd w:val="clear" w:color="auto" w:fill="BFBFBF" w:themeFill="background1" w:themeFillShade="BF"/>
        </w:rPr>
        <w:t>Question:</w:t>
      </w:r>
      <w:r w:rsidRPr="006810DA">
        <w:rPr>
          <w:rFonts w:ascii="Garamond" w:hAnsi="Garamond"/>
        </w:rPr>
        <w:t xml:space="preserve"> Can natural ventilation (via openable windows) be used to provide outdoor air for an occupied space while it is mechanically cooled and still meet the sealed building thermal envelope requirements of the Energy Conservation Code, Section C402.5? </w:t>
      </w:r>
    </w:p>
    <w:p w:rsidR="006810DA" w:rsidRDefault="006810DA" w:rsidP="006810DA">
      <w:pPr>
        <w:spacing w:after="0" w:line="240" w:lineRule="auto"/>
        <w:rPr>
          <w:rFonts w:ascii="Garamond" w:hAnsi="Garamond"/>
        </w:rPr>
      </w:pPr>
    </w:p>
    <w:p w:rsidR="006810DA" w:rsidRPr="006810DA" w:rsidRDefault="006810DA" w:rsidP="006810DA">
      <w:pPr>
        <w:spacing w:after="0" w:line="240" w:lineRule="auto"/>
        <w:ind w:left="720"/>
        <w:rPr>
          <w:rFonts w:ascii="Garamond" w:hAnsi="Garamond"/>
        </w:rPr>
      </w:pPr>
      <w:r w:rsidRPr="006810DA">
        <w:rPr>
          <w:rFonts w:ascii="Garamond" w:hAnsi="Garamond"/>
          <w:b/>
          <w:bCs/>
          <w:shd w:val="clear" w:color="auto" w:fill="BFBFBF" w:themeFill="background1" w:themeFillShade="BF"/>
        </w:rPr>
        <w:t>Answer:</w:t>
      </w:r>
      <w:r w:rsidRPr="006810DA">
        <w:rPr>
          <w:rFonts w:ascii="Garamond" w:hAnsi="Garamond"/>
        </w:rPr>
        <w:t xml:space="preserve"> </w:t>
      </w:r>
      <w:r w:rsidRPr="006810DA">
        <w:rPr>
          <w:rFonts w:ascii="Garamond" w:hAnsi="Garamond"/>
          <w:i/>
          <w:iCs/>
        </w:rPr>
        <w:t>The answer to the Petitioner’s question is yes</w:t>
      </w:r>
      <w:r w:rsidRPr="006810DA">
        <w:rPr>
          <w:rFonts w:ascii="Garamond" w:hAnsi="Garamond"/>
        </w:rPr>
        <w:t xml:space="preserve">. As per Section C403.2.6 Ventilation of the 7th Edition (2020) Florida Building Code (FBC), Energy Conservation and Section 401.2 Ventilation required of the 7th Edition (2020) FBC, Mechanical, natural ventilation meeting the specified requirements of Section 402 Natural Ventilation of the 7th Edition (2020) FBC, Mechanical is an acceptable method of ventilation for the building in question. </w:t>
      </w:r>
    </w:p>
    <w:sectPr w:rsidR="006810DA" w:rsidRPr="0068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BA"/>
    <w:rsid w:val="00273F8D"/>
    <w:rsid w:val="00414A52"/>
    <w:rsid w:val="006810DA"/>
    <w:rsid w:val="007964C7"/>
    <w:rsid w:val="00AA3C63"/>
    <w:rsid w:val="00B4068A"/>
    <w:rsid w:val="00BF685B"/>
    <w:rsid w:val="00E267BA"/>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81CF"/>
  <w15:chartTrackingRefBased/>
  <w15:docId w15:val="{4C2500E6-30F3-48A7-865A-41EDBF1B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char"/>
    <w:basedOn w:val="DefaultParagraphFont"/>
    <w:rsid w:val="00E267BA"/>
  </w:style>
  <w:style w:type="character" w:styleId="Hyperlink">
    <w:name w:val="Hyperlink"/>
    <w:basedOn w:val="DefaultParagraphFont"/>
    <w:uiPriority w:val="99"/>
    <w:semiHidden/>
    <w:unhideWhenUsed/>
    <w:rsid w:val="00E267BA"/>
    <w:rPr>
      <w:color w:val="0000FF"/>
      <w:u w:val="single"/>
    </w:rPr>
  </w:style>
  <w:style w:type="character" w:customStyle="1" w:styleId="spelle">
    <w:name w:val="spelle"/>
    <w:basedOn w:val="DefaultParagraphFont"/>
    <w:rsid w:val="00E267BA"/>
  </w:style>
  <w:style w:type="character" w:customStyle="1" w:styleId="spelle1">
    <w:name w:val="spelle1"/>
    <w:basedOn w:val="DefaultParagraphFont"/>
    <w:rsid w:val="0068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03613">
      <w:bodyDiv w:val="1"/>
      <w:marLeft w:val="0"/>
      <w:marRight w:val="0"/>
      <w:marTop w:val="0"/>
      <w:marBottom w:val="0"/>
      <w:divBdr>
        <w:top w:val="none" w:sz="0" w:space="0" w:color="auto"/>
        <w:left w:val="none" w:sz="0" w:space="0" w:color="auto"/>
        <w:bottom w:val="none" w:sz="0" w:space="0" w:color="auto"/>
        <w:right w:val="none" w:sz="0" w:space="0" w:color="auto"/>
      </w:divBdr>
      <w:divsChild>
        <w:div w:id="140970610">
          <w:marLeft w:val="0"/>
          <w:marRight w:val="0"/>
          <w:marTop w:val="0"/>
          <w:marBottom w:val="0"/>
          <w:divBdr>
            <w:top w:val="none" w:sz="0" w:space="0" w:color="auto"/>
            <w:left w:val="none" w:sz="0" w:space="0" w:color="auto"/>
            <w:bottom w:val="single" w:sz="8" w:space="1" w:color="auto"/>
            <w:right w:val="none" w:sz="0" w:space="0" w:color="auto"/>
          </w:divBdr>
        </w:div>
        <w:div w:id="1036269264">
          <w:marLeft w:val="72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Bigelow</dc:creator>
  <cp:keywords/>
  <dc:description/>
  <cp:lastModifiedBy>Joe Bigelow</cp:lastModifiedBy>
  <cp:revision>1</cp:revision>
  <dcterms:created xsi:type="dcterms:W3CDTF">2021-05-28T15:04:00Z</dcterms:created>
  <dcterms:modified xsi:type="dcterms:W3CDTF">2021-05-28T15:04:00Z</dcterms:modified>
</cp:coreProperties>
</file>