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3B5E" w14:textId="559A7776" w:rsidR="002E6106" w:rsidRDefault="000A358F">
      <w:r w:rsidRPr="000A358F">
        <w:rPr>
          <w:b/>
          <w:bCs/>
        </w:rPr>
        <w:t xml:space="preserve">Bill Number: </w:t>
      </w:r>
      <w:r w:rsidR="0086367E">
        <w:t>SB 180</w:t>
      </w:r>
    </w:p>
    <w:p w14:paraId="30E061FA" w14:textId="0B674D62" w:rsidR="000A358F" w:rsidRDefault="000A358F">
      <w:r>
        <w:rPr>
          <w:b/>
          <w:bCs/>
        </w:rPr>
        <w:t>Bill Effective date:</w:t>
      </w:r>
      <w:r w:rsidRPr="000A358F">
        <w:t xml:space="preserve"> </w:t>
      </w:r>
      <w:r w:rsidR="00172BE2">
        <w:t>Upon becoming a law</w:t>
      </w:r>
    </w:p>
    <w:p w14:paraId="26EAB814" w14:textId="77777777" w:rsidR="00E23930" w:rsidRPr="000A358F" w:rsidRDefault="00E23930" w:rsidP="00E23930">
      <w:pPr>
        <w:spacing w:line="259" w:lineRule="auto"/>
        <w:rPr>
          <w:rFonts w:ascii="Times New Roman" w:hAnsi="Times New Roman" w:cs="Times New Roman"/>
          <w:b/>
          <w:bCs/>
          <w:u w:val="single"/>
        </w:rPr>
      </w:pPr>
      <w:r w:rsidRPr="000A358F">
        <w:rPr>
          <w:rFonts w:ascii="Times New Roman" w:hAnsi="Times New Roman" w:cs="Times New Roman"/>
          <w:b/>
          <w:bCs/>
          <w:u w:val="single"/>
        </w:rPr>
        <w:t xml:space="preserve">Executive Summary </w:t>
      </w:r>
    </w:p>
    <w:p w14:paraId="1702356C" w14:textId="41D5F99C" w:rsidR="006E0FD7" w:rsidRPr="006E0FD7" w:rsidRDefault="006E0FD7">
      <w:pPr>
        <w:rPr>
          <w:rFonts w:ascii="Times New Roman" w:hAnsi="Times New Roman" w:cs="Times New Roman"/>
          <w:u w:val="single"/>
        </w:rPr>
      </w:pPr>
      <w:r w:rsidRPr="006E0FD7">
        <w:rPr>
          <w:rFonts w:ascii="Times New Roman" w:hAnsi="Times New Roman" w:cs="Times New Roman"/>
          <w:color w:val="000000"/>
          <w:u w:val="single"/>
          <w:shd w:val="clear" w:color="auto" w:fill="FFFFFF"/>
        </w:rPr>
        <w:t>Emergencies:</w:t>
      </w:r>
    </w:p>
    <w:p w14:paraId="662338E8" w14:textId="249F86C7" w:rsidR="00E23930" w:rsidRPr="00CA7B49" w:rsidRDefault="00CA7B49">
      <w:pPr>
        <w:rPr>
          <w:rFonts w:ascii="Times New Roman" w:hAnsi="Times New Roman" w:cs="Times New Roman"/>
          <w:b/>
          <w:bCs/>
        </w:rPr>
      </w:pPr>
      <w:r w:rsidRPr="00CA7B49">
        <w:rPr>
          <w:rFonts w:ascii="Times New Roman" w:hAnsi="Times New Roman" w:cs="Times New Roman"/>
        </w:rPr>
        <w:t>Adds provisions relating to the regulation of hoisting equipment during a hurricane.</w:t>
      </w:r>
    </w:p>
    <w:p w14:paraId="09FE5057" w14:textId="31BE6C9A" w:rsidR="00E23930" w:rsidRPr="00CA7B49" w:rsidRDefault="00CA7B49">
      <w:pPr>
        <w:rPr>
          <w:rFonts w:ascii="Times New Roman" w:hAnsi="Times New Roman" w:cs="Times New Roman"/>
        </w:rPr>
      </w:pPr>
      <w:r w:rsidRPr="00CA7B49">
        <w:rPr>
          <w:rFonts w:ascii="Times New Roman" w:hAnsi="Times New Roman" w:cs="Times New Roman"/>
        </w:rPr>
        <w:t>Raises the threshold in current law for requiring a building to meet energy efficiency requirements when the building is renovated after a natural disaster.</w:t>
      </w:r>
    </w:p>
    <w:p w14:paraId="003848A6" w14:textId="7B24158A" w:rsidR="00CA7B49" w:rsidRPr="00CA7B49" w:rsidRDefault="00CA7B49">
      <w:pPr>
        <w:rPr>
          <w:rFonts w:ascii="Times New Roman" w:hAnsi="Times New Roman" w:cs="Times New Roman"/>
          <w:b/>
          <w:bCs/>
        </w:rPr>
      </w:pPr>
      <w:r w:rsidRPr="00CA7B49">
        <w:rPr>
          <w:rFonts w:ascii="Times New Roman" w:hAnsi="Times New Roman" w:cs="Times New Roman"/>
        </w:rPr>
        <w:t>Requires DEM to consult with local governments, DBPR, DEP and other agencies to recommend statutory changes to streamline permitting after natural emergencies.</w:t>
      </w:r>
    </w:p>
    <w:p w14:paraId="5AFF9785" w14:textId="704B0B53" w:rsidR="000A358F" w:rsidRDefault="000A358F">
      <w:pPr>
        <w:rPr>
          <w:b/>
          <w:bCs/>
        </w:rPr>
      </w:pPr>
      <w:r w:rsidRPr="000A358F">
        <w:rPr>
          <w:b/>
          <w:bCs/>
        </w:rPr>
        <w:t>Impact:</w:t>
      </w:r>
      <w:r>
        <w:rPr>
          <w:b/>
          <w:bCs/>
        </w:rPr>
        <w:t xml:space="preserve">  </w:t>
      </w:r>
    </w:p>
    <w:p w14:paraId="3BED38C8" w14:textId="04BD0027" w:rsidR="00F33095" w:rsidRDefault="00F33095">
      <w:r>
        <w:t>Florida Building Commission</w:t>
      </w:r>
    </w:p>
    <w:p w14:paraId="604B7B4F" w14:textId="0E9561EB" w:rsidR="00F33095" w:rsidRPr="00F33095" w:rsidRDefault="00F33095" w:rsidP="00F33095">
      <w:pPr>
        <w:spacing w:line="259" w:lineRule="auto"/>
        <w:rPr>
          <w:rFonts w:ascii="Times New Roman" w:hAnsi="Times New Roman" w:cs="Times New Roman"/>
          <w:b/>
          <w:bCs/>
          <w:u w:val="single"/>
        </w:rPr>
      </w:pPr>
      <w:r w:rsidRPr="00F33095">
        <w:rPr>
          <w:rFonts w:ascii="Times New Roman" w:hAnsi="Times New Roman" w:cs="Times New Roman"/>
          <w:b/>
          <w:bCs/>
          <w:u w:val="single"/>
        </w:rPr>
        <w:t>Section</w:t>
      </w:r>
      <w:r w:rsidR="0086367E">
        <w:rPr>
          <w:rFonts w:ascii="Times New Roman" w:hAnsi="Times New Roman" w:cs="Times New Roman"/>
          <w:b/>
          <w:bCs/>
          <w:u w:val="single"/>
        </w:rPr>
        <w:t xml:space="preserve"> 25</w:t>
      </w:r>
      <w:r w:rsidRPr="00F33095">
        <w:rPr>
          <w:rFonts w:ascii="Times New Roman" w:hAnsi="Times New Roman" w:cs="Times New Roman"/>
          <w:b/>
          <w:bCs/>
          <w:u w:val="single"/>
        </w:rPr>
        <w:t xml:space="preserve"> </w:t>
      </w:r>
    </w:p>
    <w:p w14:paraId="76C7F679" w14:textId="3ECFB606" w:rsidR="0062433F" w:rsidRDefault="00F33095" w:rsidP="008469A9">
      <w:pPr>
        <w:spacing w:line="259" w:lineRule="auto"/>
        <w:rPr>
          <w:rFonts w:ascii="Times New Roman" w:hAnsi="Times New Roman" w:cs="Times New Roman"/>
        </w:rPr>
      </w:pPr>
      <w:r w:rsidRPr="00DA3D16">
        <w:rPr>
          <w:rFonts w:ascii="Times New Roman" w:hAnsi="Times New Roman" w:cs="Times New Roman"/>
        </w:rPr>
        <w:t xml:space="preserve">The </w:t>
      </w:r>
      <w:r w:rsidR="0086367E">
        <w:rPr>
          <w:rFonts w:ascii="Times New Roman" w:hAnsi="Times New Roman" w:cs="Times New Roman"/>
        </w:rPr>
        <w:t xml:space="preserve">bill </w:t>
      </w:r>
      <w:r w:rsidR="00F823B0">
        <w:rPr>
          <w:rFonts w:ascii="Times New Roman" w:hAnsi="Times New Roman" w:cs="Times New Roman"/>
        </w:rPr>
        <w:t xml:space="preserve">adds </w:t>
      </w:r>
      <w:r w:rsidR="0086367E">
        <w:rPr>
          <w:rFonts w:ascii="Times New Roman" w:hAnsi="Times New Roman" w:cs="Times New Roman"/>
        </w:rPr>
        <w:t xml:space="preserve">section 489.1132, F.S. as a new section to </w:t>
      </w:r>
      <w:r w:rsidR="00F9536C">
        <w:rPr>
          <w:rFonts w:ascii="Times New Roman" w:hAnsi="Times New Roman" w:cs="Times New Roman"/>
        </w:rPr>
        <w:t>provide</w:t>
      </w:r>
      <w:r w:rsidR="0086367E">
        <w:rPr>
          <w:rFonts w:ascii="Times New Roman" w:hAnsi="Times New Roman" w:cs="Times New Roman"/>
        </w:rPr>
        <w:t xml:space="preserve"> specific </w:t>
      </w:r>
      <w:r w:rsidR="00F9536C">
        <w:rPr>
          <w:rFonts w:ascii="Times New Roman" w:hAnsi="Times New Roman" w:cs="Times New Roman"/>
        </w:rPr>
        <w:t xml:space="preserve">provisions regarding hoisting equipment used in construction, demolition, or excavation work during a hurricane.  In part the bill </w:t>
      </w:r>
      <w:r w:rsidR="00354F96">
        <w:rPr>
          <w:rFonts w:ascii="Times New Roman" w:hAnsi="Times New Roman" w:cs="Times New Roman"/>
        </w:rPr>
        <w:t>requires that the Commission establish best practices for the utilization of tower cranes and hoisting equipment on construction job sites during hurricane season and report its findings to the Legislature by December 31, 2026.</w:t>
      </w:r>
    </w:p>
    <w:p w14:paraId="423B0F9D" w14:textId="0F758C06" w:rsidR="00354F96" w:rsidRDefault="00354F96" w:rsidP="00F33095">
      <w:pPr>
        <w:spacing w:line="259" w:lineRule="auto"/>
        <w:rPr>
          <w:rFonts w:ascii="Times New Roman" w:hAnsi="Times New Roman" w:cs="Times New Roman"/>
          <w:b/>
          <w:bCs/>
          <w:u w:val="single"/>
        </w:rPr>
      </w:pPr>
      <w:r w:rsidRPr="00354F96">
        <w:rPr>
          <w:rFonts w:ascii="Times New Roman" w:hAnsi="Times New Roman" w:cs="Times New Roman"/>
          <w:b/>
          <w:bCs/>
          <w:u w:val="single"/>
        </w:rPr>
        <w:t>Section 26</w:t>
      </w:r>
    </w:p>
    <w:p w14:paraId="54B57138" w14:textId="7120A2A6" w:rsidR="00354F96" w:rsidRDefault="00354F96" w:rsidP="00F33095">
      <w:pPr>
        <w:spacing w:line="259" w:lineRule="auto"/>
        <w:rPr>
          <w:rFonts w:ascii="Times New Roman" w:hAnsi="Times New Roman" w:cs="Times New Roman"/>
        </w:rPr>
      </w:pPr>
      <w:r>
        <w:rPr>
          <w:rFonts w:ascii="Times New Roman" w:hAnsi="Times New Roman" w:cs="Times New Roman"/>
        </w:rPr>
        <w:t xml:space="preserve">The bill amends item (6) “Renovated building” </w:t>
      </w:r>
      <w:r w:rsidR="003A4068">
        <w:rPr>
          <w:rFonts w:ascii="Times New Roman" w:hAnsi="Times New Roman" w:cs="Times New Roman"/>
        </w:rPr>
        <w:t>of section 553.92, F.S., to read as follows:</w:t>
      </w:r>
    </w:p>
    <w:p w14:paraId="5AD29338" w14:textId="57858723" w:rsidR="003A4068" w:rsidRPr="003A4068" w:rsidRDefault="003A4068" w:rsidP="00F33095">
      <w:pPr>
        <w:spacing w:line="259" w:lineRule="auto"/>
        <w:rPr>
          <w:rFonts w:ascii="Times New Roman" w:hAnsi="Times New Roman" w:cs="Times New Roman"/>
          <w:u w:val="single"/>
        </w:rPr>
      </w:pPr>
      <w:r>
        <w:rPr>
          <w:rFonts w:ascii="Times New Roman" w:hAnsi="Times New Roman" w:cs="Times New Roman"/>
        </w:rPr>
        <w:t>“</w:t>
      </w:r>
      <w:r w:rsidR="00E35DF6">
        <w:rPr>
          <w:rFonts w:ascii="Times New Roman" w:hAnsi="Times New Roman" w:cs="Times New Roman"/>
        </w:rPr>
        <w:t>Means</w:t>
      </w:r>
      <w:r>
        <w:rPr>
          <w:rFonts w:ascii="Times New Roman" w:hAnsi="Times New Roman" w:cs="Times New Roman"/>
        </w:rPr>
        <w:t xml:space="preserve"> a residential or nonresidential building undergoing alteration that varies or changes insulation, HVAC systems, water hearting systems, or exterior envelope conditions, if the estimated cost of renovation exceeds 30 percent of the assessed value of the structure.  </w:t>
      </w:r>
      <w:r>
        <w:rPr>
          <w:rFonts w:ascii="Times New Roman" w:hAnsi="Times New Roman" w:cs="Times New Roman"/>
          <w:u w:val="single"/>
        </w:rPr>
        <w:t>However, if the alteration is a result of the natural di</w:t>
      </w:r>
      <w:r w:rsidR="00E35DF6">
        <w:rPr>
          <w:rFonts w:ascii="Times New Roman" w:hAnsi="Times New Roman" w:cs="Times New Roman"/>
          <w:u w:val="single"/>
        </w:rPr>
        <w:t>saster that is the subject of a declaration of a state of emergency by the Governor, the estimated cost of the renovation must exceed 75 percent of the fair market value of the building before the natural disaster.</w:t>
      </w:r>
      <w:r>
        <w:rPr>
          <w:rFonts w:ascii="Times New Roman" w:hAnsi="Times New Roman" w:cs="Times New Roman"/>
          <w:u w:val="single"/>
        </w:rPr>
        <w:t xml:space="preserve"> </w:t>
      </w:r>
    </w:p>
    <w:p w14:paraId="65A108ED" w14:textId="60FC183F" w:rsidR="00F42B23" w:rsidRPr="00255AB0" w:rsidRDefault="00255AB0" w:rsidP="00F33095">
      <w:pPr>
        <w:spacing w:line="259" w:lineRule="auto"/>
        <w:rPr>
          <w:rFonts w:ascii="Times New Roman" w:hAnsi="Times New Roman" w:cs="Times New Roman"/>
          <w:b/>
          <w:bCs/>
        </w:rPr>
      </w:pPr>
      <w:r w:rsidRPr="00255AB0">
        <w:rPr>
          <w:rFonts w:ascii="Times New Roman" w:hAnsi="Times New Roman" w:cs="Times New Roman"/>
          <w:b/>
          <w:bCs/>
        </w:rPr>
        <w:t>Implementation:</w:t>
      </w:r>
    </w:p>
    <w:p w14:paraId="7AD29B8C" w14:textId="1FC7554F" w:rsidR="00501CBC" w:rsidRDefault="00F42B23" w:rsidP="00F33095">
      <w:pPr>
        <w:spacing w:line="259" w:lineRule="auto"/>
        <w:rPr>
          <w:rFonts w:ascii="Times New Roman" w:hAnsi="Times New Roman" w:cs="Times New Roman"/>
        </w:rPr>
      </w:pPr>
      <w:r w:rsidRPr="00F74D6A">
        <w:rPr>
          <w:rFonts w:ascii="Times New Roman" w:hAnsi="Times New Roman" w:cs="Times New Roman"/>
        </w:rPr>
        <w:t>The Florida Building Commission would need to amend</w:t>
      </w:r>
      <w:r w:rsidR="00255AB0">
        <w:rPr>
          <w:rFonts w:ascii="Times New Roman" w:hAnsi="Times New Roman" w:cs="Times New Roman"/>
        </w:rPr>
        <w:t xml:space="preserve"> </w:t>
      </w:r>
      <w:r w:rsidR="00172BE2">
        <w:rPr>
          <w:rFonts w:ascii="Times New Roman" w:hAnsi="Times New Roman" w:cs="Times New Roman"/>
        </w:rPr>
        <w:t xml:space="preserve">Chapter 2, Definitions, of the </w:t>
      </w:r>
      <w:r w:rsidR="00255AB0">
        <w:rPr>
          <w:rFonts w:ascii="Times New Roman" w:hAnsi="Times New Roman" w:cs="Times New Roman"/>
        </w:rPr>
        <w:t>8</w:t>
      </w:r>
      <w:r w:rsidR="00255AB0" w:rsidRPr="00255AB0">
        <w:rPr>
          <w:rFonts w:ascii="Times New Roman" w:hAnsi="Times New Roman" w:cs="Times New Roman"/>
          <w:vertAlign w:val="superscript"/>
        </w:rPr>
        <w:t>th</w:t>
      </w:r>
      <w:r w:rsidR="00255AB0">
        <w:rPr>
          <w:rFonts w:ascii="Times New Roman" w:hAnsi="Times New Roman" w:cs="Times New Roman"/>
        </w:rPr>
        <w:t xml:space="preserve"> Edition (2023) </w:t>
      </w:r>
      <w:r w:rsidRPr="00F74D6A">
        <w:rPr>
          <w:rFonts w:ascii="Times New Roman" w:hAnsi="Times New Roman" w:cs="Times New Roman"/>
        </w:rPr>
        <w:t>Florida Building Code</w:t>
      </w:r>
      <w:r w:rsidR="00255AB0">
        <w:rPr>
          <w:rFonts w:ascii="Times New Roman" w:hAnsi="Times New Roman" w:cs="Times New Roman"/>
        </w:rPr>
        <w:t>,</w:t>
      </w:r>
      <w:r w:rsidR="00597EB9">
        <w:rPr>
          <w:rFonts w:ascii="Times New Roman" w:hAnsi="Times New Roman" w:cs="Times New Roman"/>
        </w:rPr>
        <w:t xml:space="preserve"> </w:t>
      </w:r>
      <w:r w:rsidR="00172BE2">
        <w:rPr>
          <w:rFonts w:ascii="Times New Roman" w:hAnsi="Times New Roman" w:cs="Times New Roman"/>
        </w:rPr>
        <w:t>Energy Conservation</w:t>
      </w:r>
      <w:r w:rsidR="00255AB0">
        <w:rPr>
          <w:rFonts w:ascii="Times New Roman" w:hAnsi="Times New Roman" w:cs="Times New Roman"/>
        </w:rPr>
        <w:t xml:space="preserve"> </w:t>
      </w:r>
      <w:r w:rsidRPr="00F74D6A">
        <w:rPr>
          <w:rFonts w:ascii="Times New Roman" w:hAnsi="Times New Roman" w:cs="Times New Roman"/>
        </w:rPr>
        <w:t>to reflect the bill’s code related changes</w:t>
      </w:r>
      <w:r w:rsidR="00255AB0">
        <w:rPr>
          <w:rFonts w:ascii="Times New Roman" w:hAnsi="Times New Roman" w:cs="Times New Roman"/>
        </w:rPr>
        <w:t>.</w:t>
      </w:r>
    </w:p>
    <w:p w14:paraId="1692B791" w14:textId="355F2E9D" w:rsidR="006F1C62" w:rsidRPr="00F33095" w:rsidRDefault="006F1C62" w:rsidP="00F33095">
      <w:pPr>
        <w:spacing w:line="259" w:lineRule="auto"/>
        <w:rPr>
          <w:rFonts w:ascii="Times New Roman" w:hAnsi="Times New Roman" w:cs="Times New Roman"/>
        </w:rPr>
      </w:pPr>
    </w:p>
    <w:p w14:paraId="008DC638" w14:textId="4F591B37" w:rsidR="00CD008C" w:rsidRPr="00CD008C" w:rsidRDefault="00CD008C">
      <w:pPr>
        <w:rPr>
          <w:b/>
          <w:bCs/>
          <w:color w:val="EE0000"/>
        </w:rPr>
      </w:pPr>
      <w:r w:rsidRPr="00CD008C">
        <w:rPr>
          <w:b/>
          <w:bCs/>
          <w:color w:val="EE0000"/>
        </w:rPr>
        <w:t>Draft Code Language:</w:t>
      </w:r>
    </w:p>
    <w:p w14:paraId="1D6510A1" w14:textId="77777777" w:rsidR="00CD008C" w:rsidRDefault="00CD008C" w:rsidP="00BF1E97">
      <w:pPr>
        <w:rPr>
          <w:rFonts w:ascii="Arial" w:eastAsia="Calibri" w:hAnsi="Arial" w:cs="Arial"/>
          <w:b/>
          <w:bCs/>
          <w:sz w:val="20"/>
          <w:szCs w:val="20"/>
        </w:rPr>
      </w:pPr>
    </w:p>
    <w:p w14:paraId="02E936A6" w14:textId="23660F48" w:rsidR="00BF1E97" w:rsidRPr="00B877A1" w:rsidRDefault="00BF1E97" w:rsidP="00BF1E97">
      <w:pPr>
        <w:rPr>
          <w:rFonts w:ascii="Arial" w:eastAsia="Calibri" w:hAnsi="Arial" w:cs="Arial"/>
          <w:b/>
          <w:bCs/>
          <w:sz w:val="20"/>
          <w:szCs w:val="20"/>
        </w:rPr>
      </w:pPr>
      <w:r w:rsidRPr="00B877A1">
        <w:rPr>
          <w:rFonts w:ascii="Arial" w:eastAsia="Calibri" w:hAnsi="Arial" w:cs="Arial"/>
          <w:b/>
          <w:bCs/>
          <w:sz w:val="20"/>
          <w:szCs w:val="20"/>
        </w:rPr>
        <w:lastRenderedPageBreak/>
        <w:t>8th Edition (2023) Florida Building Code, Energy Conservation</w:t>
      </w:r>
    </w:p>
    <w:p w14:paraId="0827821F" w14:textId="0DB08BE6" w:rsidR="004E1A16" w:rsidRPr="00B877A1" w:rsidRDefault="004E1A16" w:rsidP="004E1A16">
      <w:pPr>
        <w:rPr>
          <w:rFonts w:ascii="Arial" w:hAnsi="Arial" w:cs="Arial"/>
          <w:color w:val="000000" w:themeColor="text1"/>
          <w:sz w:val="20"/>
          <w:szCs w:val="20"/>
        </w:rPr>
      </w:pPr>
      <w:r w:rsidRPr="00B877A1">
        <w:rPr>
          <w:rFonts w:ascii="Arial" w:hAnsi="Arial" w:cs="Arial"/>
          <w:color w:val="000000" w:themeColor="text1"/>
          <w:sz w:val="20"/>
          <w:szCs w:val="20"/>
        </w:rPr>
        <w:t>Revise the definition of the term “</w:t>
      </w:r>
      <w:r w:rsidR="00D2289E" w:rsidRPr="00B877A1">
        <w:rPr>
          <w:rFonts w:ascii="Arial" w:hAnsi="Arial" w:cs="Arial"/>
          <w:color w:val="000000" w:themeColor="text1"/>
          <w:sz w:val="20"/>
          <w:szCs w:val="20"/>
        </w:rPr>
        <w:t>Renovated building” of s</w:t>
      </w:r>
      <w:r w:rsidRPr="00B877A1">
        <w:rPr>
          <w:rFonts w:ascii="Arial" w:hAnsi="Arial" w:cs="Arial"/>
          <w:color w:val="000000" w:themeColor="text1"/>
          <w:sz w:val="20"/>
          <w:szCs w:val="20"/>
        </w:rPr>
        <w:t>ections C202 and R202 to read as follows:</w:t>
      </w:r>
    </w:p>
    <w:p w14:paraId="3F0CAA05" w14:textId="7525677E" w:rsidR="00B877A1" w:rsidRPr="00B877A1" w:rsidRDefault="00B877A1" w:rsidP="00B877A1">
      <w:pPr>
        <w:spacing w:line="259" w:lineRule="auto"/>
        <w:rPr>
          <w:rFonts w:ascii="Arial" w:hAnsi="Arial" w:cs="Arial"/>
          <w:sz w:val="20"/>
          <w:szCs w:val="20"/>
          <w:u w:val="single"/>
        </w:rPr>
      </w:pPr>
      <w:r w:rsidRPr="00B877A1">
        <w:rPr>
          <w:rFonts w:ascii="Arial" w:hAnsi="Arial" w:cs="Arial"/>
          <w:sz w:val="20"/>
          <w:szCs w:val="20"/>
        </w:rPr>
        <w:t xml:space="preserve">RENOVATED BUILDING. A residential or nonresidential building undergoing alteration that varies or changes insulation, HVAC systems, water heating systems or exterior envelope conditions, provided the estimated cost of renovation exceeds 30 percent of the assessed value of the structure. </w:t>
      </w:r>
      <w:r w:rsidRPr="00B877A1">
        <w:rPr>
          <w:rFonts w:ascii="Arial" w:hAnsi="Arial" w:cs="Arial"/>
          <w:sz w:val="20"/>
          <w:szCs w:val="20"/>
          <w:u w:val="single"/>
        </w:rPr>
        <w:t xml:space="preserve">However, if the alteration is a result of the natural disaster that is the subject of a declaration of a state of emergency by the Governor, the estimated cost of the renovation must exceed 75 percent of the fair market value of the building before the natural disaster. </w:t>
      </w:r>
    </w:p>
    <w:p w14:paraId="5C3BC072" w14:textId="3F0818E8" w:rsidR="00BF1E97" w:rsidRPr="00B877A1" w:rsidRDefault="00BF1E97" w:rsidP="00BF1E97">
      <w:pPr>
        <w:ind w:left="180" w:right="720"/>
        <w:rPr>
          <w:rFonts w:ascii="Arial" w:hAnsi="Arial" w:cs="Arial"/>
          <w:b/>
          <w:color w:val="000000" w:themeColor="text1"/>
          <w:sz w:val="20"/>
          <w:szCs w:val="20"/>
        </w:rPr>
      </w:pPr>
      <w:r w:rsidRPr="00B877A1">
        <w:rPr>
          <w:rFonts w:ascii="Arial" w:hAnsi="Arial" w:cs="Arial"/>
          <w:b/>
          <w:color w:val="000000" w:themeColor="text1"/>
          <w:sz w:val="20"/>
          <w:szCs w:val="20"/>
        </w:rPr>
        <w:t xml:space="preserve">(Code language for consistency with </w:t>
      </w:r>
      <w:r w:rsidR="00B877A1" w:rsidRPr="00B877A1">
        <w:rPr>
          <w:rFonts w:ascii="Arial" w:hAnsi="Arial" w:cs="Arial"/>
          <w:b/>
          <w:color w:val="000000" w:themeColor="text1"/>
          <w:sz w:val="20"/>
          <w:szCs w:val="20"/>
        </w:rPr>
        <w:t>SB</w:t>
      </w:r>
      <w:r w:rsidRPr="00B877A1">
        <w:rPr>
          <w:rFonts w:ascii="Arial" w:hAnsi="Arial" w:cs="Arial"/>
          <w:b/>
          <w:color w:val="000000" w:themeColor="text1"/>
          <w:sz w:val="20"/>
          <w:szCs w:val="20"/>
        </w:rPr>
        <w:t xml:space="preserve"> </w:t>
      </w:r>
      <w:r w:rsidR="00B877A1" w:rsidRPr="00B877A1">
        <w:rPr>
          <w:rFonts w:ascii="Arial" w:hAnsi="Arial" w:cs="Arial"/>
          <w:b/>
          <w:color w:val="000000" w:themeColor="text1"/>
          <w:sz w:val="20"/>
          <w:szCs w:val="20"/>
        </w:rPr>
        <w:t>180</w:t>
      </w:r>
      <w:r w:rsidRPr="00B877A1">
        <w:rPr>
          <w:rFonts w:ascii="Arial" w:hAnsi="Arial" w:cs="Arial"/>
          <w:b/>
          <w:color w:val="000000" w:themeColor="text1"/>
          <w:sz w:val="20"/>
          <w:szCs w:val="20"/>
        </w:rPr>
        <w:t xml:space="preserve"> – bill effective date – </w:t>
      </w:r>
      <w:r w:rsidR="00B877A1" w:rsidRPr="00B877A1">
        <w:rPr>
          <w:rFonts w:ascii="Arial" w:hAnsi="Arial" w:cs="Arial"/>
          <w:b/>
          <w:color w:val="000000" w:themeColor="text1"/>
          <w:sz w:val="20"/>
          <w:szCs w:val="20"/>
        </w:rPr>
        <w:t>Upon becoming a law</w:t>
      </w:r>
      <w:r w:rsidRPr="00B877A1">
        <w:rPr>
          <w:rFonts w:ascii="Arial" w:hAnsi="Arial" w:cs="Arial"/>
          <w:b/>
          <w:color w:val="000000" w:themeColor="text1"/>
          <w:sz w:val="20"/>
          <w:szCs w:val="20"/>
        </w:rPr>
        <w:t>)</w:t>
      </w:r>
    </w:p>
    <w:p w14:paraId="11908DB3" w14:textId="77777777" w:rsidR="00CD008C" w:rsidRDefault="00CD008C" w:rsidP="00CD008C">
      <w:pPr>
        <w:rPr>
          <w:rFonts w:ascii="Arial" w:hAnsi="Arial" w:cs="Arial"/>
          <w:sz w:val="20"/>
          <w:szCs w:val="20"/>
        </w:rPr>
      </w:pPr>
      <w:r w:rsidRPr="00EB5460">
        <w:rPr>
          <w:b/>
          <w:bCs/>
          <w:u w:val="single"/>
        </w:rPr>
        <w:t>Section 25</w:t>
      </w:r>
      <w:r>
        <w:rPr>
          <w:b/>
          <w:bCs/>
          <w:u w:val="single"/>
        </w:rPr>
        <w:t xml:space="preserve">: </w:t>
      </w:r>
      <w:r>
        <w:rPr>
          <w:rFonts w:ascii="Arial" w:hAnsi="Arial" w:cs="Arial"/>
          <w:sz w:val="20"/>
          <w:szCs w:val="20"/>
        </w:rPr>
        <w:t>B</w:t>
      </w:r>
      <w:r w:rsidRPr="000F244A">
        <w:rPr>
          <w:rFonts w:ascii="Arial" w:hAnsi="Arial" w:cs="Arial"/>
          <w:sz w:val="20"/>
          <w:szCs w:val="20"/>
        </w:rPr>
        <w:t>est practices for the utilization of tower cranes and hoisting equipment on construction job sites during hurricane season</w:t>
      </w:r>
      <w:r>
        <w:rPr>
          <w:rFonts w:ascii="Arial" w:hAnsi="Arial" w:cs="Arial"/>
          <w:sz w:val="20"/>
          <w:szCs w:val="20"/>
        </w:rPr>
        <w:t>.</w:t>
      </w:r>
    </w:p>
    <w:p w14:paraId="7198C891" w14:textId="77777777" w:rsidR="00CD008C" w:rsidRDefault="00CD008C" w:rsidP="00CD008C">
      <w:pPr>
        <w:rPr>
          <w:rFonts w:ascii="Arial" w:hAnsi="Arial" w:cs="Arial"/>
          <w:sz w:val="20"/>
          <w:szCs w:val="20"/>
        </w:rPr>
      </w:pPr>
      <w:r w:rsidRPr="008D2188">
        <w:rPr>
          <w:rFonts w:ascii="Arial" w:hAnsi="Arial" w:cs="Arial"/>
          <w:b/>
          <w:bCs/>
          <w:sz w:val="20"/>
          <w:szCs w:val="20"/>
        </w:rPr>
        <w:t xml:space="preserve">Note: </w:t>
      </w:r>
      <w:r w:rsidRPr="005D1BEB">
        <w:rPr>
          <w:rFonts w:ascii="Arial" w:hAnsi="Arial" w:cs="Arial"/>
          <w:sz w:val="20"/>
          <w:szCs w:val="20"/>
        </w:rPr>
        <w:t>The Florida Building Commission would need to appoint a workgroup and hire a group of experts to research and assist with the development of minimum criteria/standards</w:t>
      </w:r>
      <w:r>
        <w:rPr>
          <w:rFonts w:ascii="Arial" w:hAnsi="Arial" w:cs="Arial"/>
          <w:sz w:val="20"/>
          <w:szCs w:val="20"/>
        </w:rPr>
        <w:t xml:space="preserve"> for best practice for the utilization of tower cranes and hoisting equipment on construction job </w:t>
      </w:r>
      <w:proofErr w:type="gramStart"/>
      <w:r>
        <w:rPr>
          <w:rFonts w:ascii="Arial" w:hAnsi="Arial" w:cs="Arial"/>
          <w:sz w:val="20"/>
          <w:szCs w:val="20"/>
        </w:rPr>
        <w:t>site</w:t>
      </w:r>
      <w:proofErr w:type="gramEnd"/>
      <w:r>
        <w:rPr>
          <w:rFonts w:ascii="Arial" w:hAnsi="Arial" w:cs="Arial"/>
          <w:sz w:val="20"/>
          <w:szCs w:val="20"/>
        </w:rPr>
        <w:t xml:space="preserve"> during hurricane season. This will involve assembling a project team of experts consisting of individuals/entities with extensive experience in the design and construction of tower cranes and hoisting equipment. The project team will review existing design and construction standards for tower cranes and hoisting equipment and provide specific recommendations for review and consideration by the appointed </w:t>
      </w:r>
      <w:proofErr w:type="gramStart"/>
      <w:r>
        <w:rPr>
          <w:rFonts w:ascii="Arial" w:hAnsi="Arial" w:cs="Arial"/>
          <w:sz w:val="20"/>
          <w:szCs w:val="20"/>
        </w:rPr>
        <w:t>workgroup</w:t>
      </w:r>
      <w:proofErr w:type="gramEnd"/>
      <w:r>
        <w:rPr>
          <w:rFonts w:ascii="Arial" w:hAnsi="Arial" w:cs="Arial"/>
          <w:sz w:val="20"/>
          <w:szCs w:val="20"/>
        </w:rPr>
        <w:t>. The estimated cost for such a research project and report is estimated to be $100.000.</w:t>
      </w:r>
    </w:p>
    <w:p w14:paraId="0D5359E4" w14:textId="77777777" w:rsidR="00CD008C" w:rsidRDefault="00CD008C" w:rsidP="00CD008C">
      <w:pPr>
        <w:rPr>
          <w:rFonts w:ascii="Arial" w:hAnsi="Arial" w:cs="Arial"/>
          <w:sz w:val="20"/>
          <w:szCs w:val="20"/>
        </w:rPr>
      </w:pPr>
      <w:r>
        <w:rPr>
          <w:rFonts w:ascii="Arial" w:hAnsi="Arial" w:cs="Arial"/>
          <w:sz w:val="20"/>
          <w:szCs w:val="20"/>
        </w:rPr>
        <w:t>Timeline:</w:t>
      </w:r>
    </w:p>
    <w:tbl>
      <w:tblPr>
        <w:tblStyle w:val="TableGrid"/>
        <w:tblW w:w="0" w:type="auto"/>
        <w:tblLook w:val="04A0" w:firstRow="1" w:lastRow="0" w:firstColumn="1" w:lastColumn="0" w:noHBand="0" w:noVBand="1"/>
      </w:tblPr>
      <w:tblGrid>
        <w:gridCol w:w="6475"/>
        <w:gridCol w:w="2875"/>
      </w:tblGrid>
      <w:tr w:rsidR="00CD008C" w14:paraId="2C01C38E" w14:textId="77777777" w:rsidTr="00F968BA">
        <w:tc>
          <w:tcPr>
            <w:tcW w:w="6475" w:type="dxa"/>
          </w:tcPr>
          <w:p w14:paraId="51AC3301" w14:textId="77777777" w:rsidR="00CD008C" w:rsidRPr="008D2188" w:rsidRDefault="00CD008C" w:rsidP="00F968BA">
            <w:pPr>
              <w:rPr>
                <w:rFonts w:ascii="Times New Roman" w:hAnsi="Times New Roman" w:cs="Times New Roman"/>
                <w:sz w:val="20"/>
                <w:szCs w:val="20"/>
              </w:rPr>
            </w:pPr>
            <w:r>
              <w:rPr>
                <w:rFonts w:ascii="Times New Roman" w:hAnsi="Times New Roman" w:cs="Times New Roman"/>
                <w:sz w:val="20"/>
                <w:szCs w:val="20"/>
              </w:rPr>
              <w:t xml:space="preserve">Solicit research Scope of Work (SOW) to carry out the study </w:t>
            </w:r>
          </w:p>
        </w:tc>
        <w:tc>
          <w:tcPr>
            <w:tcW w:w="2875" w:type="dxa"/>
          </w:tcPr>
          <w:p w14:paraId="562D8986" w14:textId="73C6B30C" w:rsidR="00CD008C" w:rsidRPr="006D4D7A" w:rsidRDefault="00CD008C" w:rsidP="00F968BA">
            <w:pPr>
              <w:rPr>
                <w:rFonts w:ascii="Times New Roman" w:hAnsi="Times New Roman" w:cs="Times New Roman"/>
                <w:sz w:val="20"/>
                <w:szCs w:val="20"/>
              </w:rPr>
            </w:pPr>
            <w:r>
              <w:rPr>
                <w:rFonts w:ascii="Times New Roman" w:hAnsi="Times New Roman" w:cs="Times New Roman"/>
                <w:sz w:val="20"/>
                <w:szCs w:val="20"/>
              </w:rPr>
              <w:t xml:space="preserve">May </w:t>
            </w:r>
            <w:r>
              <w:rPr>
                <w:rFonts w:ascii="Times New Roman" w:hAnsi="Times New Roman" w:cs="Times New Roman"/>
                <w:sz w:val="20"/>
                <w:szCs w:val="20"/>
              </w:rPr>
              <w:t xml:space="preserve">– July </w:t>
            </w:r>
            <w:r>
              <w:rPr>
                <w:rFonts w:ascii="Times New Roman" w:hAnsi="Times New Roman" w:cs="Times New Roman"/>
                <w:sz w:val="20"/>
                <w:szCs w:val="20"/>
              </w:rPr>
              <w:t>2025</w:t>
            </w:r>
          </w:p>
        </w:tc>
      </w:tr>
      <w:tr w:rsidR="00CD008C" w14:paraId="7ADFB096" w14:textId="77777777" w:rsidTr="00F968BA">
        <w:tc>
          <w:tcPr>
            <w:tcW w:w="6475" w:type="dxa"/>
          </w:tcPr>
          <w:p w14:paraId="5AB7EB50" w14:textId="77777777" w:rsidR="00CD008C" w:rsidRDefault="00CD008C" w:rsidP="00F968BA">
            <w:pPr>
              <w:rPr>
                <w:rFonts w:ascii="Times New Roman" w:hAnsi="Times New Roman" w:cs="Times New Roman"/>
                <w:sz w:val="20"/>
                <w:szCs w:val="20"/>
              </w:rPr>
            </w:pPr>
            <w:r>
              <w:rPr>
                <w:rFonts w:ascii="Times New Roman" w:hAnsi="Times New Roman" w:cs="Times New Roman"/>
                <w:sz w:val="20"/>
                <w:szCs w:val="20"/>
              </w:rPr>
              <w:t xml:space="preserve">Establish workgroup </w:t>
            </w:r>
          </w:p>
        </w:tc>
        <w:tc>
          <w:tcPr>
            <w:tcW w:w="2875" w:type="dxa"/>
          </w:tcPr>
          <w:p w14:paraId="5CCB35E6" w14:textId="77777777" w:rsidR="00CD008C" w:rsidRDefault="00CD008C" w:rsidP="00F968BA">
            <w:pPr>
              <w:rPr>
                <w:rFonts w:ascii="Times New Roman" w:hAnsi="Times New Roman" w:cs="Times New Roman"/>
                <w:sz w:val="20"/>
                <w:szCs w:val="20"/>
              </w:rPr>
            </w:pPr>
            <w:r>
              <w:rPr>
                <w:rFonts w:ascii="Times New Roman" w:hAnsi="Times New Roman" w:cs="Times New Roman"/>
                <w:sz w:val="20"/>
                <w:szCs w:val="20"/>
              </w:rPr>
              <w:t>June – July 2025</w:t>
            </w:r>
          </w:p>
        </w:tc>
      </w:tr>
      <w:tr w:rsidR="00CD008C" w14:paraId="7D4E213B" w14:textId="77777777" w:rsidTr="00F968BA">
        <w:tc>
          <w:tcPr>
            <w:tcW w:w="6475" w:type="dxa"/>
          </w:tcPr>
          <w:p w14:paraId="72866A3E" w14:textId="77777777" w:rsidR="00CD008C" w:rsidRPr="00197D89" w:rsidRDefault="00CD008C" w:rsidP="00F968BA">
            <w:pPr>
              <w:rPr>
                <w:rFonts w:ascii="Times New Roman" w:hAnsi="Times New Roman" w:cs="Times New Roman"/>
                <w:sz w:val="20"/>
                <w:szCs w:val="20"/>
              </w:rPr>
            </w:pPr>
            <w:r>
              <w:rPr>
                <w:rFonts w:ascii="Times New Roman" w:hAnsi="Times New Roman" w:cs="Times New Roman"/>
                <w:sz w:val="20"/>
                <w:szCs w:val="20"/>
              </w:rPr>
              <w:t>Workgroup review SOW</w:t>
            </w:r>
          </w:p>
        </w:tc>
        <w:tc>
          <w:tcPr>
            <w:tcW w:w="2875" w:type="dxa"/>
          </w:tcPr>
          <w:p w14:paraId="29A6C130" w14:textId="77777777" w:rsidR="00CD008C" w:rsidRPr="00197D89" w:rsidRDefault="00CD008C" w:rsidP="00F968BA">
            <w:pPr>
              <w:rPr>
                <w:rFonts w:ascii="Times New Roman" w:hAnsi="Times New Roman" w:cs="Times New Roman"/>
                <w:sz w:val="20"/>
                <w:szCs w:val="20"/>
              </w:rPr>
            </w:pPr>
            <w:r>
              <w:rPr>
                <w:rFonts w:ascii="Times New Roman" w:hAnsi="Times New Roman" w:cs="Times New Roman"/>
                <w:sz w:val="20"/>
                <w:szCs w:val="20"/>
              </w:rPr>
              <w:t>August 2025</w:t>
            </w:r>
          </w:p>
        </w:tc>
      </w:tr>
      <w:tr w:rsidR="00CD008C" w14:paraId="28AB09EE" w14:textId="77777777" w:rsidTr="00F968BA">
        <w:tc>
          <w:tcPr>
            <w:tcW w:w="6475" w:type="dxa"/>
          </w:tcPr>
          <w:p w14:paraId="395DC99F" w14:textId="77777777" w:rsidR="00CD008C" w:rsidRPr="00197D89" w:rsidRDefault="00CD008C" w:rsidP="00F968BA">
            <w:pPr>
              <w:rPr>
                <w:rFonts w:ascii="Times New Roman" w:hAnsi="Times New Roman" w:cs="Times New Roman"/>
                <w:sz w:val="20"/>
                <w:szCs w:val="20"/>
              </w:rPr>
            </w:pPr>
            <w:r>
              <w:rPr>
                <w:rFonts w:ascii="Times New Roman" w:hAnsi="Times New Roman" w:cs="Times New Roman"/>
                <w:sz w:val="20"/>
                <w:szCs w:val="20"/>
              </w:rPr>
              <w:t>Process SOW for approval</w:t>
            </w:r>
          </w:p>
        </w:tc>
        <w:tc>
          <w:tcPr>
            <w:tcW w:w="2875" w:type="dxa"/>
          </w:tcPr>
          <w:p w14:paraId="5E0CB5E5" w14:textId="77777777" w:rsidR="00CD008C" w:rsidRPr="00197D89" w:rsidRDefault="00CD008C" w:rsidP="00F968BA">
            <w:pPr>
              <w:rPr>
                <w:rFonts w:ascii="Times New Roman" w:hAnsi="Times New Roman" w:cs="Times New Roman"/>
                <w:sz w:val="20"/>
                <w:szCs w:val="20"/>
              </w:rPr>
            </w:pPr>
            <w:r>
              <w:rPr>
                <w:rFonts w:ascii="Times New Roman" w:hAnsi="Times New Roman" w:cs="Times New Roman"/>
                <w:sz w:val="20"/>
                <w:szCs w:val="20"/>
              </w:rPr>
              <w:t>August 2025</w:t>
            </w:r>
          </w:p>
        </w:tc>
      </w:tr>
      <w:tr w:rsidR="00CD008C" w14:paraId="387318A9" w14:textId="77777777" w:rsidTr="00F968BA">
        <w:tc>
          <w:tcPr>
            <w:tcW w:w="6475" w:type="dxa"/>
          </w:tcPr>
          <w:p w14:paraId="44A8ACFA" w14:textId="77777777" w:rsidR="00CD008C" w:rsidRPr="00197D89" w:rsidRDefault="00CD008C" w:rsidP="00F968BA">
            <w:pPr>
              <w:rPr>
                <w:rFonts w:ascii="Times New Roman" w:hAnsi="Times New Roman" w:cs="Times New Roman"/>
                <w:sz w:val="20"/>
                <w:szCs w:val="20"/>
              </w:rPr>
            </w:pPr>
            <w:r>
              <w:rPr>
                <w:rFonts w:ascii="Times New Roman" w:hAnsi="Times New Roman" w:cs="Times New Roman"/>
                <w:sz w:val="20"/>
                <w:szCs w:val="20"/>
              </w:rPr>
              <w:t xml:space="preserve">Start contract </w:t>
            </w:r>
          </w:p>
        </w:tc>
        <w:tc>
          <w:tcPr>
            <w:tcW w:w="2875" w:type="dxa"/>
          </w:tcPr>
          <w:p w14:paraId="1600D188" w14:textId="77777777" w:rsidR="00CD008C" w:rsidRPr="00197D89" w:rsidRDefault="00CD008C" w:rsidP="00F968BA">
            <w:pPr>
              <w:rPr>
                <w:rFonts w:ascii="Times New Roman" w:hAnsi="Times New Roman" w:cs="Times New Roman"/>
                <w:sz w:val="20"/>
                <w:szCs w:val="20"/>
              </w:rPr>
            </w:pPr>
            <w:r>
              <w:rPr>
                <w:rFonts w:ascii="Times New Roman" w:hAnsi="Times New Roman" w:cs="Times New Roman"/>
                <w:sz w:val="20"/>
                <w:szCs w:val="20"/>
              </w:rPr>
              <w:t>September 2025</w:t>
            </w:r>
          </w:p>
        </w:tc>
      </w:tr>
      <w:tr w:rsidR="00CD008C" w14:paraId="59CA12A7" w14:textId="77777777" w:rsidTr="00F968BA">
        <w:tc>
          <w:tcPr>
            <w:tcW w:w="6475" w:type="dxa"/>
          </w:tcPr>
          <w:p w14:paraId="3285E576" w14:textId="77777777" w:rsidR="00CD008C" w:rsidRPr="00197D89" w:rsidRDefault="00CD008C" w:rsidP="00F968BA">
            <w:pPr>
              <w:rPr>
                <w:rFonts w:ascii="Times New Roman" w:hAnsi="Times New Roman" w:cs="Times New Roman"/>
                <w:sz w:val="20"/>
                <w:szCs w:val="20"/>
              </w:rPr>
            </w:pPr>
            <w:r>
              <w:rPr>
                <w:rFonts w:ascii="Times New Roman" w:hAnsi="Times New Roman" w:cs="Times New Roman"/>
                <w:sz w:val="20"/>
                <w:szCs w:val="20"/>
              </w:rPr>
              <w:t xml:space="preserve">Complete research </w:t>
            </w:r>
          </w:p>
        </w:tc>
        <w:tc>
          <w:tcPr>
            <w:tcW w:w="2875" w:type="dxa"/>
          </w:tcPr>
          <w:p w14:paraId="55C0A014" w14:textId="77777777" w:rsidR="00CD008C" w:rsidRPr="00E00369" w:rsidRDefault="00CD008C" w:rsidP="00F968BA">
            <w:pPr>
              <w:rPr>
                <w:rFonts w:ascii="Times New Roman" w:hAnsi="Times New Roman" w:cs="Times New Roman"/>
                <w:sz w:val="20"/>
                <w:szCs w:val="20"/>
              </w:rPr>
            </w:pPr>
            <w:r>
              <w:rPr>
                <w:rFonts w:ascii="Times New Roman" w:hAnsi="Times New Roman" w:cs="Times New Roman"/>
                <w:sz w:val="20"/>
                <w:szCs w:val="20"/>
              </w:rPr>
              <w:t>June 2026</w:t>
            </w:r>
          </w:p>
        </w:tc>
      </w:tr>
      <w:tr w:rsidR="00CD008C" w14:paraId="5BA40645" w14:textId="77777777" w:rsidTr="00F968BA">
        <w:tc>
          <w:tcPr>
            <w:tcW w:w="6475" w:type="dxa"/>
          </w:tcPr>
          <w:p w14:paraId="383A8662" w14:textId="77777777" w:rsidR="00CD008C" w:rsidRPr="00E00369" w:rsidRDefault="00CD008C" w:rsidP="00F968BA">
            <w:pPr>
              <w:rPr>
                <w:rFonts w:ascii="Times New Roman" w:hAnsi="Times New Roman" w:cs="Times New Roman"/>
                <w:sz w:val="20"/>
                <w:szCs w:val="20"/>
              </w:rPr>
            </w:pPr>
            <w:r>
              <w:rPr>
                <w:rFonts w:ascii="Times New Roman" w:hAnsi="Times New Roman" w:cs="Times New Roman"/>
                <w:sz w:val="20"/>
                <w:szCs w:val="20"/>
              </w:rPr>
              <w:t xml:space="preserve">Review and approval of final report/of best practices by the workgroup/Commission </w:t>
            </w:r>
          </w:p>
        </w:tc>
        <w:tc>
          <w:tcPr>
            <w:tcW w:w="2875" w:type="dxa"/>
          </w:tcPr>
          <w:p w14:paraId="38421ECA" w14:textId="77777777" w:rsidR="00CD008C" w:rsidRPr="003A163D" w:rsidRDefault="00CD008C" w:rsidP="00F968BA">
            <w:pPr>
              <w:rPr>
                <w:rFonts w:ascii="Times New Roman" w:hAnsi="Times New Roman" w:cs="Times New Roman"/>
                <w:sz w:val="20"/>
                <w:szCs w:val="20"/>
              </w:rPr>
            </w:pPr>
            <w:r>
              <w:rPr>
                <w:rFonts w:ascii="Times New Roman" w:hAnsi="Times New Roman" w:cs="Times New Roman"/>
                <w:sz w:val="20"/>
                <w:szCs w:val="20"/>
              </w:rPr>
              <w:t>June 2026</w:t>
            </w:r>
          </w:p>
        </w:tc>
      </w:tr>
      <w:tr w:rsidR="00CD008C" w14:paraId="6C9D408D" w14:textId="77777777" w:rsidTr="00F968BA">
        <w:tc>
          <w:tcPr>
            <w:tcW w:w="6475" w:type="dxa"/>
          </w:tcPr>
          <w:p w14:paraId="3E916B92" w14:textId="77777777" w:rsidR="00CD008C" w:rsidRDefault="00CD008C" w:rsidP="00F968BA">
            <w:pPr>
              <w:rPr>
                <w:rFonts w:ascii="Times New Roman" w:hAnsi="Times New Roman" w:cs="Times New Roman"/>
                <w:sz w:val="20"/>
                <w:szCs w:val="20"/>
              </w:rPr>
            </w:pPr>
            <w:r>
              <w:rPr>
                <w:rFonts w:ascii="Times New Roman" w:hAnsi="Times New Roman" w:cs="Times New Roman"/>
                <w:sz w:val="20"/>
                <w:szCs w:val="20"/>
              </w:rPr>
              <w:t xml:space="preserve">Submit legislative report </w:t>
            </w:r>
          </w:p>
        </w:tc>
        <w:tc>
          <w:tcPr>
            <w:tcW w:w="2875" w:type="dxa"/>
          </w:tcPr>
          <w:p w14:paraId="6BD88618" w14:textId="77777777" w:rsidR="00CD008C" w:rsidRDefault="00CD008C" w:rsidP="00F968BA">
            <w:pPr>
              <w:rPr>
                <w:rFonts w:ascii="Times New Roman" w:hAnsi="Times New Roman" w:cs="Times New Roman"/>
                <w:sz w:val="20"/>
                <w:szCs w:val="20"/>
              </w:rPr>
            </w:pPr>
            <w:r>
              <w:rPr>
                <w:rFonts w:ascii="Times New Roman" w:hAnsi="Times New Roman" w:cs="Times New Roman"/>
                <w:sz w:val="20"/>
                <w:szCs w:val="20"/>
              </w:rPr>
              <w:t>December 2026</w:t>
            </w:r>
          </w:p>
        </w:tc>
      </w:tr>
    </w:tbl>
    <w:p w14:paraId="67C2488C" w14:textId="77777777" w:rsidR="00CD008C" w:rsidRDefault="00CD008C" w:rsidP="00CD008C">
      <w:pPr>
        <w:rPr>
          <w:b/>
          <w:bCs/>
          <w:u w:val="single"/>
        </w:rPr>
      </w:pPr>
    </w:p>
    <w:p w14:paraId="2AB9DD6D" w14:textId="77777777" w:rsidR="00BF1E97" w:rsidRPr="008D2188" w:rsidRDefault="00BF1E97">
      <w:pPr>
        <w:rPr>
          <w:b/>
          <w:bCs/>
          <w:u w:val="single"/>
        </w:rPr>
      </w:pPr>
    </w:p>
    <w:sectPr w:rsidR="00BF1E97" w:rsidRPr="008D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8F"/>
    <w:rsid w:val="00076E2B"/>
    <w:rsid w:val="00085FB0"/>
    <w:rsid w:val="000A32BA"/>
    <w:rsid w:val="000A358F"/>
    <w:rsid w:val="000B1D1C"/>
    <w:rsid w:val="00147ED2"/>
    <w:rsid w:val="00172BE2"/>
    <w:rsid w:val="00197D89"/>
    <w:rsid w:val="00200BFF"/>
    <w:rsid w:val="00255AB0"/>
    <w:rsid w:val="00276466"/>
    <w:rsid w:val="002E6106"/>
    <w:rsid w:val="00354F96"/>
    <w:rsid w:val="00362540"/>
    <w:rsid w:val="003A163D"/>
    <w:rsid w:val="003A4068"/>
    <w:rsid w:val="003A768C"/>
    <w:rsid w:val="00403F78"/>
    <w:rsid w:val="00413093"/>
    <w:rsid w:val="00445DCC"/>
    <w:rsid w:val="004E1A16"/>
    <w:rsid w:val="00501CBC"/>
    <w:rsid w:val="00544539"/>
    <w:rsid w:val="005465ED"/>
    <w:rsid w:val="00597EB9"/>
    <w:rsid w:val="0062433F"/>
    <w:rsid w:val="00645A13"/>
    <w:rsid w:val="006A3DDD"/>
    <w:rsid w:val="006A4CF3"/>
    <w:rsid w:val="006D4D7A"/>
    <w:rsid w:val="006E0FD7"/>
    <w:rsid w:val="006F1C62"/>
    <w:rsid w:val="00730E4A"/>
    <w:rsid w:val="008469A9"/>
    <w:rsid w:val="0086367E"/>
    <w:rsid w:val="00866F0B"/>
    <w:rsid w:val="0089472D"/>
    <w:rsid w:val="008A21D5"/>
    <w:rsid w:val="008A64C5"/>
    <w:rsid w:val="008C0F89"/>
    <w:rsid w:val="008D2188"/>
    <w:rsid w:val="008F3AF4"/>
    <w:rsid w:val="009017F5"/>
    <w:rsid w:val="00914B68"/>
    <w:rsid w:val="00961A6F"/>
    <w:rsid w:val="009703D7"/>
    <w:rsid w:val="00997259"/>
    <w:rsid w:val="009F3A89"/>
    <w:rsid w:val="00B01399"/>
    <w:rsid w:val="00B049DD"/>
    <w:rsid w:val="00B44360"/>
    <w:rsid w:val="00B877A1"/>
    <w:rsid w:val="00BB4A7C"/>
    <w:rsid w:val="00BE6925"/>
    <w:rsid w:val="00BF1E97"/>
    <w:rsid w:val="00C05A90"/>
    <w:rsid w:val="00C06277"/>
    <w:rsid w:val="00C34859"/>
    <w:rsid w:val="00C71621"/>
    <w:rsid w:val="00C71CF3"/>
    <w:rsid w:val="00CA7B49"/>
    <w:rsid w:val="00CD008C"/>
    <w:rsid w:val="00D2289E"/>
    <w:rsid w:val="00D72946"/>
    <w:rsid w:val="00DA3D16"/>
    <w:rsid w:val="00DE1C01"/>
    <w:rsid w:val="00DE5727"/>
    <w:rsid w:val="00E00369"/>
    <w:rsid w:val="00E034F3"/>
    <w:rsid w:val="00E1012C"/>
    <w:rsid w:val="00E23930"/>
    <w:rsid w:val="00E35DF6"/>
    <w:rsid w:val="00E7787E"/>
    <w:rsid w:val="00E91254"/>
    <w:rsid w:val="00EB5460"/>
    <w:rsid w:val="00F33095"/>
    <w:rsid w:val="00F42B23"/>
    <w:rsid w:val="00F823B0"/>
    <w:rsid w:val="00F9536C"/>
    <w:rsid w:val="00FA204D"/>
    <w:rsid w:val="00FB3D8D"/>
    <w:rsid w:val="00FC7650"/>
    <w:rsid w:val="00FD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8F06"/>
  <w15:chartTrackingRefBased/>
  <w15:docId w15:val="{A4626B23-E8F2-4D0F-8B8E-062971A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8F"/>
    <w:rPr>
      <w:rFonts w:eastAsiaTheme="majorEastAsia" w:cstheme="majorBidi"/>
      <w:color w:val="272727" w:themeColor="text1" w:themeTint="D8"/>
    </w:rPr>
  </w:style>
  <w:style w:type="paragraph" w:styleId="Title">
    <w:name w:val="Title"/>
    <w:basedOn w:val="Normal"/>
    <w:next w:val="Normal"/>
    <w:link w:val="TitleChar"/>
    <w:uiPriority w:val="10"/>
    <w:qFormat/>
    <w:rsid w:val="000A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8F"/>
    <w:pPr>
      <w:spacing w:before="160"/>
      <w:jc w:val="center"/>
    </w:pPr>
    <w:rPr>
      <w:i/>
      <w:iCs/>
      <w:color w:val="404040" w:themeColor="text1" w:themeTint="BF"/>
    </w:rPr>
  </w:style>
  <w:style w:type="character" w:customStyle="1" w:styleId="QuoteChar">
    <w:name w:val="Quote Char"/>
    <w:basedOn w:val="DefaultParagraphFont"/>
    <w:link w:val="Quote"/>
    <w:uiPriority w:val="29"/>
    <w:rsid w:val="000A358F"/>
    <w:rPr>
      <w:i/>
      <w:iCs/>
      <w:color w:val="404040" w:themeColor="text1" w:themeTint="BF"/>
    </w:rPr>
  </w:style>
  <w:style w:type="paragraph" w:styleId="ListParagraph">
    <w:name w:val="List Paragraph"/>
    <w:basedOn w:val="Normal"/>
    <w:uiPriority w:val="34"/>
    <w:qFormat/>
    <w:rsid w:val="000A358F"/>
    <w:pPr>
      <w:ind w:left="720"/>
      <w:contextualSpacing/>
    </w:pPr>
  </w:style>
  <w:style w:type="character" w:styleId="IntenseEmphasis">
    <w:name w:val="Intense Emphasis"/>
    <w:basedOn w:val="DefaultParagraphFont"/>
    <w:uiPriority w:val="21"/>
    <w:qFormat/>
    <w:rsid w:val="000A358F"/>
    <w:rPr>
      <w:i/>
      <w:iCs/>
      <w:color w:val="0F4761" w:themeColor="accent1" w:themeShade="BF"/>
    </w:rPr>
  </w:style>
  <w:style w:type="paragraph" w:styleId="IntenseQuote">
    <w:name w:val="Intense Quote"/>
    <w:basedOn w:val="Normal"/>
    <w:next w:val="Normal"/>
    <w:link w:val="IntenseQuoteChar"/>
    <w:uiPriority w:val="30"/>
    <w:qFormat/>
    <w:rsid w:val="000A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58F"/>
    <w:rPr>
      <w:i/>
      <w:iCs/>
      <w:color w:val="0F4761" w:themeColor="accent1" w:themeShade="BF"/>
    </w:rPr>
  </w:style>
  <w:style w:type="character" w:styleId="IntenseReference">
    <w:name w:val="Intense Reference"/>
    <w:basedOn w:val="DefaultParagraphFont"/>
    <w:uiPriority w:val="32"/>
    <w:qFormat/>
    <w:rsid w:val="000A358F"/>
    <w:rPr>
      <w:b/>
      <w:bCs/>
      <w:smallCaps/>
      <w:color w:val="0F4761" w:themeColor="accent1" w:themeShade="BF"/>
      <w:spacing w:val="5"/>
    </w:rPr>
  </w:style>
  <w:style w:type="table" w:styleId="TableGrid">
    <w:name w:val="Table Grid"/>
    <w:basedOn w:val="TableNormal"/>
    <w:uiPriority w:val="39"/>
    <w:rsid w:val="006F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bold"/>
    <w:basedOn w:val="DefaultParagraphFont"/>
    <w:rsid w:val="00B049DD"/>
  </w:style>
  <w:style w:type="character" w:customStyle="1" w:styleId="text">
    <w:name w:val="text"/>
    <w:basedOn w:val="DefaultParagraphFont"/>
    <w:rsid w:val="00B049DD"/>
  </w:style>
  <w:style w:type="paragraph" w:customStyle="1" w:styleId="paragraph">
    <w:name w:val="paragraph"/>
    <w:basedOn w:val="Normal"/>
    <w:rsid w:val="0062433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8C0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4</cp:revision>
  <dcterms:created xsi:type="dcterms:W3CDTF">2025-05-15T14:34:00Z</dcterms:created>
  <dcterms:modified xsi:type="dcterms:W3CDTF">2025-05-29T13:50:00Z</dcterms:modified>
</cp:coreProperties>
</file>