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3B5E" w14:textId="7F622A89" w:rsidR="002E6106" w:rsidRDefault="000A358F">
      <w:r w:rsidRPr="000A358F">
        <w:rPr>
          <w:b/>
          <w:bCs/>
        </w:rPr>
        <w:t xml:space="preserve">Bill Number: </w:t>
      </w:r>
      <w:r w:rsidRPr="000A358F">
        <w:t xml:space="preserve">HB </w:t>
      </w:r>
      <w:r w:rsidR="00FB3D8D">
        <w:t>913</w:t>
      </w:r>
    </w:p>
    <w:p w14:paraId="30E061FA" w14:textId="4E4DEA6C" w:rsidR="000A358F" w:rsidRDefault="000A358F">
      <w:r>
        <w:rPr>
          <w:b/>
          <w:bCs/>
        </w:rPr>
        <w:t>Bill Effective date:</w:t>
      </w:r>
      <w:r w:rsidRPr="000A358F">
        <w:t xml:space="preserve"> July 1, 2025</w:t>
      </w:r>
    </w:p>
    <w:p w14:paraId="6C0605E8" w14:textId="77777777" w:rsidR="0014705F" w:rsidRDefault="0014705F" w:rsidP="0014705F">
      <w:pPr>
        <w:spacing w:line="259" w:lineRule="auto"/>
        <w:rPr>
          <w:rFonts w:ascii="Times New Roman" w:hAnsi="Times New Roman" w:cs="Times New Roman"/>
          <w:b/>
          <w:bCs/>
          <w:u w:val="single"/>
        </w:rPr>
      </w:pPr>
      <w:r w:rsidRPr="000A358F">
        <w:rPr>
          <w:rFonts w:ascii="Times New Roman" w:hAnsi="Times New Roman" w:cs="Times New Roman"/>
          <w:b/>
          <w:bCs/>
          <w:u w:val="single"/>
        </w:rPr>
        <w:t xml:space="preserve">Executive Summary </w:t>
      </w:r>
    </w:p>
    <w:p w14:paraId="491CF11C" w14:textId="11B2C17A" w:rsidR="00E01EA9" w:rsidRPr="00E01EA9" w:rsidRDefault="00E01EA9" w:rsidP="0014705F">
      <w:pPr>
        <w:spacing w:line="259" w:lineRule="auto"/>
        <w:rPr>
          <w:rFonts w:ascii="Times New Roman" w:hAnsi="Times New Roman" w:cs="Times New Roman"/>
          <w:u w:val="single"/>
        </w:rPr>
      </w:pPr>
      <w:r w:rsidRPr="00E01EA9">
        <w:rPr>
          <w:rFonts w:ascii="Times New Roman" w:hAnsi="Times New Roman" w:cs="Times New Roman"/>
          <w:color w:val="000000"/>
          <w:u w:val="single"/>
          <w:shd w:val="clear" w:color="auto" w:fill="FFFFFF"/>
        </w:rPr>
        <w:t>Condominium and Cooperative Associations:</w:t>
      </w:r>
    </w:p>
    <w:p w14:paraId="48776019" w14:textId="2A4B0647" w:rsidR="0014705F" w:rsidRDefault="0014705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4705F">
        <w:rPr>
          <w:rFonts w:ascii="Times New Roman" w:hAnsi="Times New Roman" w:cs="Times New Roman"/>
          <w:color w:val="000000"/>
          <w:shd w:val="clear" w:color="auto" w:fill="FFFFFF"/>
        </w:rPr>
        <w:t>Prohibits a person whose community association manager license is revoked from having an indirect or direct ownership interest in, or being an employee, a partner, an officer, a director, or a trustee of, a community association management firm for a specified timeframe; requires a licensee to create and maintain an online licensure account with the Department of Business and Professional Regulation; requires a community association manager to identify on his or her online licensure account certain information; requires a licensee to provide specific information on his or her online licensure account; requires that such information be updated within a specified timeframe; requires a community association management firm to identify on its online licensure account the community association managers it employs to provide community association management services.</w:t>
      </w:r>
    </w:p>
    <w:p w14:paraId="054F6C43" w14:textId="60FA7BA6" w:rsidR="0014705F" w:rsidRPr="000C6896" w:rsidRDefault="00B640F1" w:rsidP="000C68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t>The</w:t>
      </w:r>
      <w:r w:rsidR="0014705F" w:rsidRPr="000C6896">
        <w:rPr>
          <w:rFonts w:ascii="Times New Roman" w:hAnsi="Times New Roman" w:cs="Times New Roman"/>
        </w:rPr>
        <w:t xml:space="preserve"> bill requires a board of county commissioners or municipal governing body to adopt an ordinance requiring that a condominium association schedule or commence repairs for substantial structural deterioration within a specified timeframe after the local enforcement agency receives a phase two inspection report</w:t>
      </w:r>
    </w:p>
    <w:p w14:paraId="117F0A31" w14:textId="3D4D2904" w:rsidR="00B640F1" w:rsidRPr="000C6896" w:rsidRDefault="00B640F1" w:rsidP="000C68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C6896">
        <w:rPr>
          <w:rFonts w:ascii="Times New Roman" w:hAnsi="Times New Roman" w:cs="Times New Roman"/>
        </w:rPr>
        <w:t>Require local enforcement agencies responsible for milestone inspections to provide to DBPR, by October 1, 2025, and December 31 every year thereafter, specified information relating to buildings required to have a milestone inspection.</w:t>
      </w:r>
    </w:p>
    <w:p w14:paraId="37045C89" w14:textId="4A8CD629" w:rsidR="0014705F" w:rsidRDefault="00B640F1" w:rsidP="000C68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640F1">
        <w:rPr>
          <w:rFonts w:ascii="Times New Roman" w:hAnsi="Times New Roman" w:cs="Times New Roman"/>
        </w:rPr>
        <w:t>The</w:t>
      </w:r>
      <w:r w:rsidR="00CC110F" w:rsidRPr="00B640F1">
        <w:rPr>
          <w:rFonts w:ascii="Times New Roman" w:hAnsi="Times New Roman" w:cs="Times New Roman"/>
        </w:rPr>
        <w:t xml:space="preserve"> bill requires DBPR to provide to the Office of Program Policy Analysis and Government Accountability (OPPAGA) all information obtained from the local enforcement agencies pursuant to the above provisions by a date specified, and in a manner prescribed, by OPPAGA. OPPAGA may request from a local enforcement agency any additional information necessary to complete the report.</w:t>
      </w:r>
    </w:p>
    <w:p w14:paraId="5F63D23F" w14:textId="38160870" w:rsidR="000C6896" w:rsidRPr="005F0C3C" w:rsidRDefault="005F0C3C" w:rsidP="005F0C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EE0000"/>
        </w:rPr>
      </w:pPr>
      <w:r w:rsidRPr="005F0C3C">
        <w:rPr>
          <w:rFonts w:ascii="Times New Roman" w:hAnsi="Times New Roman" w:cs="Times New Roman"/>
          <w:color w:val="EE0000"/>
        </w:rPr>
        <w:t>The division shall adopt by rule the form for the structural integrity reserve study in coordination with the Florida Building Commission.</w:t>
      </w:r>
    </w:p>
    <w:p w14:paraId="27D33B74" w14:textId="77777777" w:rsidR="00CC110F" w:rsidRPr="005F0C3C" w:rsidRDefault="00CC110F">
      <w:pPr>
        <w:rPr>
          <w:rFonts w:ascii="Times New Roman" w:hAnsi="Times New Roman" w:cs="Times New Roman"/>
          <w:color w:val="EE0000"/>
        </w:rPr>
      </w:pPr>
    </w:p>
    <w:p w14:paraId="5AFF9785" w14:textId="3777A9F4" w:rsidR="000A358F" w:rsidRDefault="000A358F">
      <w:pPr>
        <w:rPr>
          <w:b/>
          <w:bCs/>
        </w:rPr>
      </w:pPr>
      <w:r w:rsidRPr="000A358F">
        <w:rPr>
          <w:b/>
          <w:bCs/>
        </w:rPr>
        <w:t>Impact:</w:t>
      </w:r>
      <w:r>
        <w:rPr>
          <w:b/>
          <w:bCs/>
        </w:rPr>
        <w:t xml:space="preserve">  </w:t>
      </w:r>
    </w:p>
    <w:p w14:paraId="3BED38C8" w14:textId="04BD0027" w:rsidR="00F33095" w:rsidRDefault="00F33095">
      <w:r>
        <w:t>Florida Building Commission</w:t>
      </w:r>
    </w:p>
    <w:p w14:paraId="604B7B4F" w14:textId="6A49B9D5" w:rsidR="00F33095" w:rsidRPr="00F33095" w:rsidRDefault="00F33095" w:rsidP="00F33095">
      <w:pPr>
        <w:spacing w:line="259" w:lineRule="auto"/>
        <w:rPr>
          <w:rFonts w:ascii="Times New Roman" w:hAnsi="Times New Roman" w:cs="Times New Roman"/>
          <w:b/>
          <w:bCs/>
          <w:u w:val="single"/>
        </w:rPr>
      </w:pPr>
      <w:r w:rsidRPr="00F33095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BE6925">
        <w:rPr>
          <w:rFonts w:ascii="Times New Roman" w:hAnsi="Times New Roman" w:cs="Times New Roman"/>
          <w:b/>
          <w:bCs/>
          <w:u w:val="single"/>
        </w:rPr>
        <w:t>4</w:t>
      </w:r>
    </w:p>
    <w:p w14:paraId="4AC676C4" w14:textId="0D96A48F" w:rsidR="00F33095" w:rsidRPr="00DA3D16" w:rsidRDefault="00F33095" w:rsidP="00F33095">
      <w:pPr>
        <w:spacing w:line="259" w:lineRule="auto"/>
        <w:rPr>
          <w:rFonts w:ascii="Times New Roman" w:hAnsi="Times New Roman" w:cs="Times New Roman"/>
        </w:rPr>
      </w:pPr>
      <w:r w:rsidRPr="00DA3D16">
        <w:rPr>
          <w:rFonts w:ascii="Times New Roman" w:hAnsi="Times New Roman" w:cs="Times New Roman"/>
        </w:rPr>
        <w:lastRenderedPageBreak/>
        <w:t xml:space="preserve">The bill amends </w:t>
      </w:r>
      <w:r w:rsidR="00997259" w:rsidRPr="00DA3D16">
        <w:rPr>
          <w:rFonts w:ascii="Times New Roman" w:hAnsi="Times New Roman" w:cs="Times New Roman"/>
        </w:rPr>
        <w:t xml:space="preserve">paragraph </w:t>
      </w:r>
      <w:r w:rsidRPr="00DA3D16">
        <w:rPr>
          <w:rFonts w:ascii="Times New Roman" w:hAnsi="Times New Roman" w:cs="Times New Roman"/>
        </w:rPr>
        <w:t>(</w:t>
      </w:r>
      <w:r w:rsidR="00FA204D" w:rsidRPr="00DA3D16">
        <w:rPr>
          <w:rFonts w:ascii="Times New Roman" w:hAnsi="Times New Roman" w:cs="Times New Roman"/>
        </w:rPr>
        <w:t>a</w:t>
      </w:r>
      <w:r w:rsidRPr="00DA3D16">
        <w:rPr>
          <w:rFonts w:ascii="Times New Roman" w:hAnsi="Times New Roman" w:cs="Times New Roman"/>
        </w:rPr>
        <w:t xml:space="preserve">) of </w:t>
      </w:r>
      <w:r w:rsidR="00BE6925" w:rsidRPr="00DA3D16">
        <w:rPr>
          <w:rFonts w:ascii="Times New Roman" w:hAnsi="Times New Roman" w:cs="Times New Roman"/>
        </w:rPr>
        <w:t>sub</w:t>
      </w:r>
      <w:r w:rsidRPr="00DA3D16">
        <w:rPr>
          <w:rFonts w:ascii="Times New Roman" w:hAnsi="Times New Roman" w:cs="Times New Roman"/>
        </w:rPr>
        <w:t>section</w:t>
      </w:r>
      <w:r w:rsidR="00BE6925" w:rsidRPr="00DA3D16">
        <w:rPr>
          <w:rFonts w:ascii="Times New Roman" w:hAnsi="Times New Roman" w:cs="Times New Roman"/>
        </w:rPr>
        <w:t xml:space="preserve"> (</w:t>
      </w:r>
      <w:r w:rsidR="00997259" w:rsidRPr="00DA3D16">
        <w:rPr>
          <w:rFonts w:ascii="Times New Roman" w:hAnsi="Times New Roman" w:cs="Times New Roman"/>
        </w:rPr>
        <w:t>3</w:t>
      </w:r>
      <w:r w:rsidR="00BE6925" w:rsidRPr="00DA3D16">
        <w:rPr>
          <w:rFonts w:ascii="Times New Roman" w:hAnsi="Times New Roman" w:cs="Times New Roman"/>
        </w:rPr>
        <w:t>) of section</w:t>
      </w:r>
      <w:r w:rsidRPr="00DA3D16">
        <w:rPr>
          <w:rFonts w:ascii="Times New Roman" w:hAnsi="Times New Roman" w:cs="Times New Roman"/>
        </w:rPr>
        <w:t xml:space="preserve"> </w:t>
      </w:r>
      <w:r w:rsidR="00997259" w:rsidRPr="00DA3D16">
        <w:rPr>
          <w:rFonts w:ascii="Times New Roman" w:hAnsi="Times New Roman" w:cs="Times New Roman"/>
        </w:rPr>
        <w:t>553.899</w:t>
      </w:r>
      <w:r w:rsidRPr="00DA3D16">
        <w:rPr>
          <w:rFonts w:ascii="Times New Roman" w:hAnsi="Times New Roman" w:cs="Times New Roman"/>
        </w:rPr>
        <w:t xml:space="preserve">, F.S., to </w:t>
      </w:r>
      <w:r w:rsidR="00FA204D" w:rsidRPr="00DA3D16">
        <w:rPr>
          <w:rFonts w:ascii="Times New Roman" w:hAnsi="Times New Roman" w:cs="Times New Roman"/>
        </w:rPr>
        <w:t xml:space="preserve">limit the application of milestone inspection </w:t>
      </w:r>
      <w:r w:rsidR="00CA622C">
        <w:rPr>
          <w:rFonts w:ascii="Times New Roman" w:hAnsi="Times New Roman" w:cs="Times New Roman"/>
        </w:rPr>
        <w:t xml:space="preserve">requirements </w:t>
      </w:r>
      <w:r w:rsidR="00FA204D" w:rsidRPr="00DA3D16">
        <w:rPr>
          <w:rFonts w:ascii="Times New Roman" w:hAnsi="Times New Roman" w:cs="Times New Roman"/>
        </w:rPr>
        <w:t>to a building that is three</w:t>
      </w:r>
      <w:r w:rsidR="00FA204D" w:rsidRPr="00DA3D16">
        <w:rPr>
          <w:rFonts w:ascii="Times New Roman" w:hAnsi="Times New Roman" w:cs="Times New Roman"/>
          <w:color w:val="FF0000"/>
        </w:rPr>
        <w:t xml:space="preserve"> habitable </w:t>
      </w:r>
      <w:r w:rsidR="00FA204D" w:rsidRPr="00DA3D16">
        <w:rPr>
          <w:rFonts w:ascii="Times New Roman" w:hAnsi="Times New Roman" w:cs="Times New Roman"/>
        </w:rPr>
        <w:t>stories or more in height.</w:t>
      </w:r>
    </w:p>
    <w:p w14:paraId="48F43851" w14:textId="09C5B3E0" w:rsidR="003A768C" w:rsidRPr="00DA3D16" w:rsidRDefault="003A768C" w:rsidP="00F33095">
      <w:pPr>
        <w:spacing w:line="259" w:lineRule="auto"/>
        <w:rPr>
          <w:rFonts w:ascii="Times New Roman" w:hAnsi="Times New Roman" w:cs="Times New Roman"/>
        </w:rPr>
      </w:pPr>
      <w:r w:rsidRPr="00DA3D16">
        <w:rPr>
          <w:rFonts w:ascii="Times New Roman" w:hAnsi="Times New Roman" w:cs="Times New Roman"/>
        </w:rPr>
        <w:t xml:space="preserve">The bill amends subsection (11) of section 553.899, F.S., to </w:t>
      </w:r>
      <w:r w:rsidR="004A63BC">
        <w:rPr>
          <w:rFonts w:ascii="Times New Roman" w:hAnsi="Times New Roman" w:cs="Times New Roman"/>
        </w:rPr>
        <w:t>provide</w:t>
      </w:r>
      <w:r w:rsidRPr="00DA3D16">
        <w:rPr>
          <w:rFonts w:ascii="Times New Roman" w:hAnsi="Times New Roman" w:cs="Times New Roman"/>
        </w:rPr>
        <w:t xml:space="preserve"> that a board of county commissioners or municipal governing body</w:t>
      </w:r>
      <w:r w:rsidR="00806D92">
        <w:rPr>
          <w:rFonts w:ascii="Times New Roman" w:hAnsi="Times New Roman" w:cs="Times New Roman"/>
        </w:rPr>
        <w:t xml:space="preserve"> </w:t>
      </w:r>
      <w:r w:rsidR="00806D92" w:rsidRPr="00FF73FA">
        <w:rPr>
          <w:rFonts w:ascii="Times New Roman" w:hAnsi="Times New Roman" w:cs="Times New Roman"/>
          <w:i/>
          <w:iCs/>
          <w:color w:val="FF0000"/>
        </w:rPr>
        <w:t>shall</w:t>
      </w:r>
      <w:r w:rsidR="00806D92">
        <w:rPr>
          <w:rFonts w:ascii="Times New Roman" w:hAnsi="Times New Roman" w:cs="Times New Roman"/>
        </w:rPr>
        <w:t xml:space="preserve"> </w:t>
      </w:r>
      <w:r w:rsidR="00806D92" w:rsidRPr="00806D92">
        <w:rPr>
          <w:rFonts w:ascii="Times New Roman" w:hAnsi="Times New Roman" w:cs="Times New Roman"/>
        </w:rPr>
        <w:t>adopt an ordinance requiring that a condominium or cooperative association and any other owner that is subject to this section schedule or commence repairs for substantial structural deterioration within a specified</w:t>
      </w:r>
      <w:r w:rsidR="005B0D67">
        <w:rPr>
          <w:rFonts w:ascii="Times New Roman" w:hAnsi="Times New Roman" w:cs="Times New Roman"/>
        </w:rPr>
        <w:t xml:space="preserve"> </w:t>
      </w:r>
      <w:r w:rsidR="00806D92" w:rsidRPr="00806D92">
        <w:rPr>
          <w:rFonts w:ascii="Times New Roman" w:hAnsi="Times New Roman" w:cs="Times New Roman"/>
        </w:rPr>
        <w:t>timeframe</w:t>
      </w:r>
      <w:r w:rsidR="00806D92">
        <w:rPr>
          <w:rFonts w:ascii="Times New Roman" w:hAnsi="Times New Roman" w:cs="Times New Roman"/>
        </w:rPr>
        <w:t xml:space="preserve"> </w:t>
      </w:r>
      <w:r w:rsidR="00806D92" w:rsidRPr="00806D92">
        <w:rPr>
          <w:rFonts w:ascii="Times New Roman" w:hAnsi="Times New Roman" w:cs="Times New Roman"/>
        </w:rPr>
        <w:t>after the local enforcement agency receives a phase</w:t>
      </w:r>
      <w:r w:rsidR="00806D92">
        <w:rPr>
          <w:rFonts w:ascii="Times New Roman" w:hAnsi="Times New Roman" w:cs="Times New Roman"/>
        </w:rPr>
        <w:t xml:space="preserve"> two inspection report, and that the repairs must be commenced within 365 days.</w:t>
      </w:r>
      <w:r w:rsidRPr="00DA3D16">
        <w:rPr>
          <w:rFonts w:ascii="Times New Roman" w:hAnsi="Times New Roman" w:cs="Times New Roman"/>
          <w:color w:val="FF0000"/>
        </w:rPr>
        <w:t xml:space="preserve"> </w:t>
      </w:r>
    </w:p>
    <w:p w14:paraId="76C7F679" w14:textId="00923BAC" w:rsidR="0062433F" w:rsidRPr="00DA3D16" w:rsidRDefault="00E91254" w:rsidP="0062433F">
      <w:pPr>
        <w:pStyle w:val="paragraph"/>
        <w:textAlignment w:val="baseline"/>
        <w:rPr>
          <w:rFonts w:ascii="Arial" w:hAnsi="Arial" w:cs="Arial"/>
        </w:rPr>
      </w:pPr>
      <w:r w:rsidRPr="00DA3D16">
        <w:t>The bill add</w:t>
      </w:r>
      <w:r w:rsidR="00362540" w:rsidRPr="00DA3D16">
        <w:t>s</w:t>
      </w:r>
      <w:r w:rsidRPr="00DA3D16">
        <w:t xml:space="preserve"> subsection (1</w:t>
      </w:r>
      <w:r w:rsidR="004F2326">
        <w:t>2</w:t>
      </w:r>
      <w:r w:rsidRPr="00DA3D16">
        <w:t xml:space="preserve">) </w:t>
      </w:r>
      <w:r w:rsidR="0062433F" w:rsidRPr="00DA3D16">
        <w:t>of section 553.899</w:t>
      </w:r>
      <w:r w:rsidRPr="00DA3D16">
        <w:t xml:space="preserve">, F.S., </w:t>
      </w:r>
      <w:r w:rsidR="0062433F" w:rsidRPr="00DA3D16">
        <w:t>to require that a conflict of interest exists for any person who performs a milestone inspection to provide or contract to provide services for the repair or replacement in milestone inspection, or to have a financial interest with the person or entity providing the repair or replacement services</w:t>
      </w:r>
      <w:r w:rsidR="0062433F" w:rsidRPr="00DA3D16">
        <w:rPr>
          <w:rFonts w:ascii="Arial" w:hAnsi="Arial" w:cs="Arial"/>
        </w:rPr>
        <w:t xml:space="preserve">. </w:t>
      </w:r>
    </w:p>
    <w:p w14:paraId="65A108ED" w14:textId="78B26C88" w:rsidR="00F42B23" w:rsidRPr="00255AB0" w:rsidRDefault="00255AB0" w:rsidP="00F33095">
      <w:pPr>
        <w:spacing w:line="259" w:lineRule="auto"/>
        <w:rPr>
          <w:rFonts w:ascii="Times New Roman" w:hAnsi="Times New Roman" w:cs="Times New Roman"/>
          <w:b/>
          <w:bCs/>
        </w:rPr>
      </w:pPr>
      <w:r w:rsidRPr="00255AB0">
        <w:rPr>
          <w:rFonts w:ascii="Times New Roman" w:hAnsi="Times New Roman" w:cs="Times New Roman"/>
          <w:b/>
          <w:bCs/>
        </w:rPr>
        <w:t>Implementation:</w:t>
      </w:r>
    </w:p>
    <w:p w14:paraId="7AD29B8C" w14:textId="306EB0B4" w:rsidR="00501CBC" w:rsidRDefault="00F42B23" w:rsidP="00F33095">
      <w:pPr>
        <w:spacing w:line="259" w:lineRule="auto"/>
        <w:rPr>
          <w:rFonts w:ascii="Times New Roman" w:hAnsi="Times New Roman" w:cs="Times New Roman"/>
        </w:rPr>
      </w:pPr>
      <w:r w:rsidRPr="00F74D6A">
        <w:rPr>
          <w:rFonts w:ascii="Times New Roman" w:hAnsi="Times New Roman" w:cs="Times New Roman"/>
        </w:rPr>
        <w:t>The Florida Building Commission would need to amend</w:t>
      </w:r>
      <w:r w:rsidR="00255AB0">
        <w:rPr>
          <w:rFonts w:ascii="Times New Roman" w:hAnsi="Times New Roman" w:cs="Times New Roman"/>
        </w:rPr>
        <w:t xml:space="preserve"> </w:t>
      </w:r>
      <w:r w:rsidR="00362540">
        <w:rPr>
          <w:rFonts w:ascii="Times New Roman" w:hAnsi="Times New Roman" w:cs="Times New Roman"/>
        </w:rPr>
        <w:t>chapter 18</w:t>
      </w:r>
      <w:r w:rsidR="00FD4D43">
        <w:rPr>
          <w:rFonts w:ascii="Times New Roman" w:hAnsi="Times New Roman" w:cs="Times New Roman"/>
        </w:rPr>
        <w:t xml:space="preserve"> </w:t>
      </w:r>
      <w:r w:rsidR="00255AB0">
        <w:rPr>
          <w:rFonts w:ascii="Times New Roman" w:hAnsi="Times New Roman" w:cs="Times New Roman"/>
        </w:rPr>
        <w:t>of</w:t>
      </w:r>
      <w:r w:rsidRPr="00F74D6A">
        <w:rPr>
          <w:rFonts w:ascii="Times New Roman" w:hAnsi="Times New Roman" w:cs="Times New Roman"/>
        </w:rPr>
        <w:t xml:space="preserve"> the </w:t>
      </w:r>
      <w:r w:rsidR="00255AB0">
        <w:rPr>
          <w:rFonts w:ascii="Times New Roman" w:hAnsi="Times New Roman" w:cs="Times New Roman"/>
        </w:rPr>
        <w:t>8</w:t>
      </w:r>
      <w:r w:rsidR="00255AB0" w:rsidRPr="00255AB0">
        <w:rPr>
          <w:rFonts w:ascii="Times New Roman" w:hAnsi="Times New Roman" w:cs="Times New Roman"/>
          <w:vertAlign w:val="superscript"/>
        </w:rPr>
        <w:t>th</w:t>
      </w:r>
      <w:r w:rsidR="00255AB0">
        <w:rPr>
          <w:rFonts w:ascii="Times New Roman" w:hAnsi="Times New Roman" w:cs="Times New Roman"/>
        </w:rPr>
        <w:t xml:space="preserve"> Edition (2023) </w:t>
      </w:r>
      <w:r w:rsidRPr="00F74D6A">
        <w:rPr>
          <w:rFonts w:ascii="Times New Roman" w:hAnsi="Times New Roman" w:cs="Times New Roman"/>
        </w:rPr>
        <w:t>Florida Building Code</w:t>
      </w:r>
      <w:r w:rsidR="00255AB0">
        <w:rPr>
          <w:rFonts w:ascii="Times New Roman" w:hAnsi="Times New Roman" w:cs="Times New Roman"/>
        </w:rPr>
        <w:t xml:space="preserve">, </w:t>
      </w:r>
      <w:r w:rsidR="00362540">
        <w:rPr>
          <w:rFonts w:ascii="Times New Roman" w:hAnsi="Times New Roman" w:cs="Times New Roman"/>
        </w:rPr>
        <w:t>Existing Building</w:t>
      </w:r>
      <w:r w:rsidR="00255AB0">
        <w:rPr>
          <w:rFonts w:ascii="Times New Roman" w:hAnsi="Times New Roman" w:cs="Times New Roman"/>
        </w:rPr>
        <w:t xml:space="preserve"> </w:t>
      </w:r>
      <w:r w:rsidRPr="00F74D6A">
        <w:rPr>
          <w:rFonts w:ascii="Times New Roman" w:hAnsi="Times New Roman" w:cs="Times New Roman"/>
        </w:rPr>
        <w:t>to reflect the bill’s code related changes</w:t>
      </w:r>
      <w:r w:rsidR="00255AB0">
        <w:rPr>
          <w:rFonts w:ascii="Times New Roman" w:hAnsi="Times New Roman" w:cs="Times New Roman"/>
        </w:rPr>
        <w:t>.</w:t>
      </w:r>
    </w:p>
    <w:p w14:paraId="1692B791" w14:textId="48AB3700" w:rsidR="006F1C62" w:rsidRPr="00BC6F8F" w:rsidRDefault="00BC6F8F" w:rsidP="00F33095">
      <w:pPr>
        <w:spacing w:line="259" w:lineRule="auto"/>
        <w:rPr>
          <w:rFonts w:ascii="Times New Roman" w:hAnsi="Times New Roman" w:cs="Times New Roman"/>
          <w:b/>
          <w:bCs/>
          <w:color w:val="EE0000"/>
        </w:rPr>
      </w:pPr>
      <w:r w:rsidRPr="00BC6F8F">
        <w:rPr>
          <w:rFonts w:ascii="Times New Roman" w:hAnsi="Times New Roman" w:cs="Times New Roman"/>
          <w:b/>
          <w:bCs/>
          <w:color w:val="EE0000"/>
        </w:rPr>
        <w:t>Draft Code Language:</w:t>
      </w:r>
    </w:p>
    <w:p w14:paraId="7530905B" w14:textId="549E0F69" w:rsidR="00F33095" w:rsidRPr="00E26F92" w:rsidRDefault="005B67B8">
      <w:pPr>
        <w:rPr>
          <w:rFonts w:ascii="Times New Roman" w:eastAsia="Calibri" w:hAnsi="Times New Roman" w:cs="Times New Roman"/>
          <w:b/>
          <w:bCs/>
        </w:rPr>
      </w:pPr>
      <w:r w:rsidRPr="00E26F92">
        <w:rPr>
          <w:rFonts w:ascii="Times New Roman" w:eastAsia="Calibri" w:hAnsi="Times New Roman" w:cs="Times New Roman"/>
          <w:b/>
          <w:bCs/>
        </w:rPr>
        <w:t xml:space="preserve">8th Edition (2023) Florida Building Code, </w:t>
      </w:r>
      <w:r w:rsidR="00651033" w:rsidRPr="00E26F92">
        <w:rPr>
          <w:rFonts w:ascii="Times New Roman" w:eastAsia="Calibri" w:hAnsi="Times New Roman" w:cs="Times New Roman"/>
          <w:b/>
          <w:bCs/>
        </w:rPr>
        <w:t xml:space="preserve">Existing Building </w:t>
      </w:r>
    </w:p>
    <w:p w14:paraId="086BDDAF" w14:textId="321C04A7" w:rsidR="00E26F92" w:rsidRDefault="00E26F92" w:rsidP="00E26F92">
      <w:pPr>
        <w:spacing w:after="100" w:afterAutospacing="1" w:line="24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26F92">
        <w:rPr>
          <w:rFonts w:ascii="Times New Roman" w:eastAsia="Calibri" w:hAnsi="Times New Roman" w:cs="Times New Roman"/>
          <w:bCs/>
          <w:kern w:val="0"/>
          <w14:ligatures w14:val="none"/>
        </w:rPr>
        <w:t>Chapter 18 Minimum Requirements for the Mandatory Milestone Inspections</w:t>
      </w:r>
    </w:p>
    <w:p w14:paraId="2854ABA3" w14:textId="6479E58A" w:rsidR="00E26F92" w:rsidRPr="00E26F92" w:rsidRDefault="00E26F92" w:rsidP="00E26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right="18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Revise section 1801.2 to read as follows:</w:t>
      </w:r>
    </w:p>
    <w:p w14:paraId="3DEC6337" w14:textId="1F996575" w:rsidR="00E26F92" w:rsidRPr="00E26F92" w:rsidRDefault="00E26F92" w:rsidP="00E26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right="1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26F92">
        <w:rPr>
          <w:rFonts w:ascii="Times New Roman" w:eastAsia="Calibri" w:hAnsi="Times New Roman" w:cs="Times New Roman"/>
          <w:b/>
          <w:kern w:val="0"/>
          <w14:ligatures w14:val="none"/>
        </w:rPr>
        <w:t xml:space="preserve">1801.2 Scope.  </w:t>
      </w:r>
      <w:r w:rsidRPr="00E26F92">
        <w:rPr>
          <w:rFonts w:ascii="Times New Roman" w:eastAsia="Calibri" w:hAnsi="Times New Roman" w:cs="Times New Roman"/>
          <w:kern w:val="0"/>
          <w14:ligatures w14:val="none"/>
        </w:rPr>
        <w:t xml:space="preserve">An owner or owners of a building that is three </w:t>
      </w: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habitable </w:t>
      </w:r>
      <w:r w:rsidRPr="00E26F92">
        <w:rPr>
          <w:rFonts w:ascii="Times New Roman" w:eastAsia="Calibri" w:hAnsi="Times New Roman" w:cs="Times New Roman"/>
          <w:kern w:val="0"/>
          <w14:ligatures w14:val="none"/>
        </w:rPr>
        <w:t>stories or more in height as determined by the Florida Building Code and that is subject, in whole or in part, to the condominium or cooperative form of ownership as a residential condominium under chapter 718 or a residential cooperative under chapter 719 must have a milestone inspection performed.</w:t>
      </w:r>
    </w:p>
    <w:p w14:paraId="30A70887" w14:textId="4B800B09" w:rsidR="00E26F92" w:rsidRPr="00E26F92" w:rsidRDefault="00E26F92" w:rsidP="00E26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right="18" w:firstLine="72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26F92">
        <w:rPr>
          <w:rFonts w:ascii="Times New Roman" w:eastAsia="Calibri" w:hAnsi="Times New Roman" w:cs="Times New Roman"/>
          <w:b/>
          <w:bCs/>
          <w:kern w:val="0"/>
          <w14:ligatures w14:val="none"/>
        </w:rPr>
        <w:t>Exception:</w:t>
      </w:r>
      <w:r w:rsidR="00D0082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D00820" w:rsidRPr="00D00820">
        <w:rPr>
          <w:rFonts w:ascii="Times New Roman" w:eastAsia="Calibri" w:hAnsi="Times New Roman" w:cs="Times New Roman"/>
          <w:kern w:val="0"/>
          <w14:ligatures w14:val="none"/>
        </w:rPr>
        <w:t>No change.</w:t>
      </w:r>
    </w:p>
    <w:p w14:paraId="4F527A6B" w14:textId="65720A0D" w:rsidR="00D00820" w:rsidRPr="00D00820" w:rsidRDefault="00D00820" w:rsidP="00D0082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240" w:lineRule="auto"/>
        <w:ind w:righ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Revise section 1808.2 to read as follows:</w:t>
      </w:r>
    </w:p>
    <w:p w14:paraId="0E5F3A43" w14:textId="56726FFF" w:rsidR="00D00820" w:rsidRPr="00D00820" w:rsidRDefault="00D00820" w:rsidP="00D0082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240" w:lineRule="auto"/>
        <w:ind w:right="720"/>
        <w:jc w:val="both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  <w:r w:rsidRPr="00D00820">
        <w:rPr>
          <w:rFonts w:ascii="Times New Roman" w:eastAsia="Calibri" w:hAnsi="Times New Roman" w:cs="Times New Roman"/>
          <w:b/>
          <w:bCs/>
          <w:kern w:val="0"/>
          <w14:ligatures w14:val="none"/>
        </w:rPr>
        <w:t>1808.2</w:t>
      </w:r>
      <w:r w:rsidRPr="00D0082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D00820">
        <w:rPr>
          <w:rFonts w:ascii="Times New Roman" w:eastAsia="Calibri" w:hAnsi="Times New Roman" w:cs="Times New Roman"/>
          <w:b/>
          <w:kern w:val="0"/>
          <w14:ligatures w14:val="none"/>
        </w:rPr>
        <w:t xml:space="preserve">Repair.  </w:t>
      </w:r>
      <w:r w:rsidRPr="00D00820">
        <w:rPr>
          <w:rFonts w:ascii="Times New Roman" w:eastAsia="Calibri" w:hAnsi="Times New Roman" w:cs="Times New Roman"/>
          <w:kern w:val="0"/>
          <w14:ligatures w14:val="none"/>
        </w:rPr>
        <w:t xml:space="preserve">A board of county commissioners or municipal governing body </w:t>
      </w:r>
      <w:r w:rsidRPr="00D00820">
        <w:rPr>
          <w:rFonts w:ascii="Times New Roman" w:eastAsia="Calibri" w:hAnsi="Times New Roman" w:cs="Times New Roman"/>
          <w:strike/>
          <w:kern w:val="0"/>
          <w14:ligatures w14:val="none"/>
        </w:rPr>
        <w:t>may</w:t>
      </w:r>
      <w:r w:rsidRPr="00D0082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D00820">
        <w:rPr>
          <w:rFonts w:ascii="Times New Roman" w:eastAsia="Calibri" w:hAnsi="Times New Roman" w:cs="Times New Roman"/>
          <w:kern w:val="0"/>
          <w:u w:val="single"/>
          <w14:ligatures w14:val="none"/>
        </w:rPr>
        <w:t>shall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D00820">
        <w:rPr>
          <w:rFonts w:ascii="Times New Roman" w:eastAsia="Calibri" w:hAnsi="Times New Roman" w:cs="Times New Roman"/>
          <w:kern w:val="0"/>
          <w14:ligatures w14:val="none"/>
        </w:rPr>
        <w:t xml:space="preserve">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report; however, such repairs must be commenced within 365 days after receiving such report. </w:t>
      </w:r>
    </w:p>
    <w:p w14:paraId="4FB2588D" w14:textId="77777777" w:rsidR="00E26F92" w:rsidRPr="00E26F92" w:rsidRDefault="00E26F92" w:rsidP="00A63E4D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12989DCF" w14:textId="77777777" w:rsidR="00E97D9D" w:rsidRPr="00651033" w:rsidRDefault="00E97D9D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E97D9D" w:rsidRPr="0065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14FC1"/>
    <w:multiLevelType w:val="hybridMultilevel"/>
    <w:tmpl w:val="576A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6D10D4"/>
    <w:multiLevelType w:val="hybridMultilevel"/>
    <w:tmpl w:val="F4482A26"/>
    <w:lvl w:ilvl="0" w:tplc="F5D69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2989">
    <w:abstractNumId w:val="1"/>
  </w:num>
  <w:num w:numId="2" w16cid:durableId="104595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8F"/>
    <w:rsid w:val="00045F0D"/>
    <w:rsid w:val="00076E2B"/>
    <w:rsid w:val="00085FB0"/>
    <w:rsid w:val="000A358F"/>
    <w:rsid w:val="000A6C21"/>
    <w:rsid w:val="000C6896"/>
    <w:rsid w:val="0013334F"/>
    <w:rsid w:val="0014705F"/>
    <w:rsid w:val="00147ED2"/>
    <w:rsid w:val="00200BFF"/>
    <w:rsid w:val="00255AB0"/>
    <w:rsid w:val="00271B09"/>
    <w:rsid w:val="002E6106"/>
    <w:rsid w:val="00362540"/>
    <w:rsid w:val="003A768C"/>
    <w:rsid w:val="0040200F"/>
    <w:rsid w:val="00413093"/>
    <w:rsid w:val="00445DCC"/>
    <w:rsid w:val="004A63BC"/>
    <w:rsid w:val="004F2326"/>
    <w:rsid w:val="00501CBC"/>
    <w:rsid w:val="005465ED"/>
    <w:rsid w:val="005B0D67"/>
    <w:rsid w:val="005B67B8"/>
    <w:rsid w:val="005D0D97"/>
    <w:rsid w:val="005F0C3C"/>
    <w:rsid w:val="00613CEA"/>
    <w:rsid w:val="0062433F"/>
    <w:rsid w:val="00645A13"/>
    <w:rsid w:val="006468E3"/>
    <w:rsid w:val="00651033"/>
    <w:rsid w:val="006A3DDD"/>
    <w:rsid w:val="006A4CF3"/>
    <w:rsid w:val="006C414C"/>
    <w:rsid w:val="006F1C62"/>
    <w:rsid w:val="00722362"/>
    <w:rsid w:val="00806D92"/>
    <w:rsid w:val="00866F0B"/>
    <w:rsid w:val="008F3AF4"/>
    <w:rsid w:val="009017F5"/>
    <w:rsid w:val="00961A6F"/>
    <w:rsid w:val="009703D7"/>
    <w:rsid w:val="00997259"/>
    <w:rsid w:val="009F3A89"/>
    <w:rsid w:val="00A63E4D"/>
    <w:rsid w:val="00B049DD"/>
    <w:rsid w:val="00B06C37"/>
    <w:rsid w:val="00B44360"/>
    <w:rsid w:val="00B640F1"/>
    <w:rsid w:val="00BB4A7C"/>
    <w:rsid w:val="00BB589F"/>
    <w:rsid w:val="00BC6F8F"/>
    <w:rsid w:val="00BD382E"/>
    <w:rsid w:val="00BE6925"/>
    <w:rsid w:val="00C05A90"/>
    <w:rsid w:val="00C06277"/>
    <w:rsid w:val="00C71621"/>
    <w:rsid w:val="00CA622C"/>
    <w:rsid w:val="00CC110F"/>
    <w:rsid w:val="00D00820"/>
    <w:rsid w:val="00D72946"/>
    <w:rsid w:val="00DA3D16"/>
    <w:rsid w:val="00DB166D"/>
    <w:rsid w:val="00DE5727"/>
    <w:rsid w:val="00E01EA9"/>
    <w:rsid w:val="00E034F3"/>
    <w:rsid w:val="00E1012C"/>
    <w:rsid w:val="00E26F92"/>
    <w:rsid w:val="00E91254"/>
    <w:rsid w:val="00E97D9D"/>
    <w:rsid w:val="00EB3E6E"/>
    <w:rsid w:val="00EE44F1"/>
    <w:rsid w:val="00EE48BD"/>
    <w:rsid w:val="00F33095"/>
    <w:rsid w:val="00F42B23"/>
    <w:rsid w:val="00FA204D"/>
    <w:rsid w:val="00FB3D8D"/>
    <w:rsid w:val="00FC7650"/>
    <w:rsid w:val="00FD4D4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8F06"/>
  <w15:chartTrackingRefBased/>
  <w15:docId w15:val="{A4626B23-E8F2-4D0F-8B8E-062971AA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5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">
    <w:name w:val="textbold"/>
    <w:basedOn w:val="DefaultParagraphFont"/>
    <w:rsid w:val="00B049DD"/>
  </w:style>
  <w:style w:type="character" w:customStyle="1" w:styleId="text">
    <w:name w:val="text"/>
    <w:basedOn w:val="DefaultParagraphFont"/>
    <w:rsid w:val="00B049DD"/>
  </w:style>
  <w:style w:type="paragraph" w:customStyle="1" w:styleId="paragraph">
    <w:name w:val="paragraph"/>
    <w:basedOn w:val="Normal"/>
    <w:rsid w:val="006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CA62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6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2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5</cp:revision>
  <dcterms:created xsi:type="dcterms:W3CDTF">2025-05-15T13:43:00Z</dcterms:created>
  <dcterms:modified xsi:type="dcterms:W3CDTF">2025-05-29T13:44:00Z</dcterms:modified>
</cp:coreProperties>
</file>