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D198" w14:textId="73B90BFA" w:rsidR="006B10C6" w:rsidRPr="006B10C6" w:rsidRDefault="006B10C6" w:rsidP="006B10C6">
      <w:pPr>
        <w:jc w:val="center"/>
        <w:rPr>
          <w:sz w:val="36"/>
          <w:szCs w:val="36"/>
        </w:rPr>
      </w:pPr>
      <w:r w:rsidRPr="006B10C6">
        <w:rPr>
          <w:sz w:val="36"/>
          <w:szCs w:val="36"/>
        </w:rPr>
        <w:t>NFPA 1730 2019 Edition</w:t>
      </w:r>
    </w:p>
    <w:p w14:paraId="0B395D13" w14:textId="77777777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3.3.1* Critical Infrastructure.</w:t>
      </w:r>
    </w:p>
    <w:p w14:paraId="1F4D8BD7" w14:textId="642C1BF4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The assets, systems, and networks, whether physical or virtual, that are so vital to the community that their damage or destruction would have a debilitating effect.</w:t>
      </w:r>
    </w:p>
    <w:p w14:paraId="71E5E1A8" w14:textId="6D099898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A.3.3.1 Critical</w:t>
      </w:r>
      <w:r w:rsidRPr="0020406E">
        <w:rPr>
          <w:sz w:val="20"/>
          <w:szCs w:val="20"/>
        </w:rPr>
        <w:t xml:space="preserve"> Infrastructure.</w:t>
      </w:r>
    </w:p>
    <w:p w14:paraId="3194DCBD" w14:textId="1B0EDAA7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Examples of critical infrastructures could include water treatment plant, special structures, public safety buildings, and power plants.</w:t>
      </w:r>
    </w:p>
    <w:p w14:paraId="795B7B3F" w14:textId="7CFA8387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3.3.3 Occupancy.</w:t>
      </w:r>
    </w:p>
    <w:p w14:paraId="45942795" w14:textId="77777777" w:rsidR="006B10C6" w:rsidRPr="0020406E" w:rsidRDefault="006B10C6" w:rsidP="006B10C6">
      <w:pPr>
        <w:rPr>
          <w:sz w:val="20"/>
          <w:szCs w:val="20"/>
        </w:rPr>
      </w:pPr>
    </w:p>
    <w:p w14:paraId="5FBF572B" w14:textId="77777777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3.3.3.1* High-Risk Occupancy.</w:t>
      </w:r>
    </w:p>
    <w:p w14:paraId="4A7FF6DE" w14:textId="77777777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 xml:space="preserve">An occupancy that has a history of high frequency of fires, high potential for loss of life or economic loss, or that has a low or moderate history of fires or loss of </w:t>
      </w:r>
      <w:proofErr w:type="gramStart"/>
      <w:r w:rsidRPr="0020406E">
        <w:rPr>
          <w:sz w:val="20"/>
          <w:szCs w:val="20"/>
        </w:rPr>
        <w:t>life</w:t>
      </w:r>
      <w:proofErr w:type="gramEnd"/>
      <w:r w:rsidRPr="0020406E">
        <w:rPr>
          <w:sz w:val="20"/>
          <w:szCs w:val="20"/>
        </w:rPr>
        <w:t xml:space="preserve"> but the occupants have a high dependency on the built-in fire protection features or staff to assist in evacuation during a fire or other emergency.</w:t>
      </w:r>
    </w:p>
    <w:p w14:paraId="0EA9BC32" w14:textId="14FB6294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A.3.3.3.1 High</w:t>
      </w:r>
      <w:r w:rsidRPr="0020406E">
        <w:rPr>
          <w:sz w:val="20"/>
          <w:szCs w:val="20"/>
        </w:rPr>
        <w:t>-Risk Occupancy.</w:t>
      </w:r>
    </w:p>
    <w:p w14:paraId="2A2E9238" w14:textId="20A57AF2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 xml:space="preserve">Examples of high-risk occupancies could include multiple-family dwellings, high-rise buildings, hotels, dormitories, lodging and rooming, assembly, </w:t>
      </w:r>
      <w:proofErr w:type="gramStart"/>
      <w:r w:rsidRPr="0020406E">
        <w:rPr>
          <w:sz w:val="20"/>
          <w:szCs w:val="20"/>
        </w:rPr>
        <w:t>child care</w:t>
      </w:r>
      <w:proofErr w:type="gramEnd"/>
      <w:r w:rsidRPr="0020406E">
        <w:rPr>
          <w:sz w:val="20"/>
          <w:szCs w:val="20"/>
        </w:rPr>
        <w:t>, detention, educational, health care, and industrial.</w:t>
      </w:r>
    </w:p>
    <w:p w14:paraId="57AC3394" w14:textId="77777777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3.3.3.2* Low-Risk Occupancy.</w:t>
      </w:r>
    </w:p>
    <w:p w14:paraId="04438851" w14:textId="77777777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An occupancy that has a history of low frequency of fires and minimal potential for loss of life or economic loss.</w:t>
      </w:r>
    </w:p>
    <w:p w14:paraId="56ABA034" w14:textId="7B95438B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A.3.3.3.2 Low</w:t>
      </w:r>
      <w:r w:rsidRPr="0020406E">
        <w:rPr>
          <w:sz w:val="20"/>
          <w:szCs w:val="20"/>
        </w:rPr>
        <w:t>-Risk Occupancy.</w:t>
      </w:r>
    </w:p>
    <w:p w14:paraId="2DD12CD8" w14:textId="112DCC60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Examples of low-risk occupancies could include storage, mercantile, and business.</w:t>
      </w:r>
    </w:p>
    <w:p w14:paraId="4CB234C2" w14:textId="77777777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3.3.3.3* Moderate-Risk Occupancy.</w:t>
      </w:r>
    </w:p>
    <w:p w14:paraId="07CD6039" w14:textId="284D1FF0" w:rsidR="009C6495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An occupancy that has a history of moderate frequency of fires or a moderate potential for loss of life or economic loss.</w:t>
      </w:r>
    </w:p>
    <w:p w14:paraId="69CBEDE8" w14:textId="12CAF3A3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>A.3.3.3.3 Moderate</w:t>
      </w:r>
      <w:r w:rsidRPr="0020406E">
        <w:rPr>
          <w:sz w:val="20"/>
          <w:szCs w:val="20"/>
        </w:rPr>
        <w:t>-Risk Occupancy.</w:t>
      </w:r>
    </w:p>
    <w:p w14:paraId="31CEF828" w14:textId="77E69881" w:rsidR="006B10C6" w:rsidRPr="0020406E" w:rsidRDefault="006B10C6" w:rsidP="006B10C6">
      <w:pPr>
        <w:rPr>
          <w:sz w:val="20"/>
          <w:szCs w:val="20"/>
        </w:rPr>
      </w:pPr>
      <w:r w:rsidRPr="0020406E">
        <w:rPr>
          <w:sz w:val="20"/>
          <w:szCs w:val="20"/>
        </w:rPr>
        <w:t xml:space="preserve">Examples of moderate-risk occupancies could include ambulatory health care and industrial occupancies that do not maintain, store, use, or handle hazardous materials </w:t>
      </w:r>
      <w:proofErr w:type="gramStart"/>
      <w:r w:rsidRPr="0020406E">
        <w:rPr>
          <w:sz w:val="20"/>
          <w:szCs w:val="20"/>
        </w:rPr>
        <w:t>in excess of</w:t>
      </w:r>
      <w:proofErr w:type="gramEnd"/>
      <w:r w:rsidRPr="0020406E">
        <w:rPr>
          <w:sz w:val="20"/>
          <w:szCs w:val="20"/>
        </w:rPr>
        <w:t xml:space="preserve"> exempt amounts.</w:t>
      </w:r>
    </w:p>
    <w:p w14:paraId="306B1890" w14:textId="574DCBCB" w:rsidR="0020406E" w:rsidRPr="0020406E" w:rsidRDefault="0020406E" w:rsidP="0020406E">
      <w:pPr>
        <w:rPr>
          <w:sz w:val="20"/>
          <w:szCs w:val="20"/>
        </w:rPr>
      </w:pPr>
      <w:r w:rsidRPr="0020406E">
        <w:rPr>
          <w:sz w:val="20"/>
          <w:szCs w:val="20"/>
        </w:rPr>
        <w:t>Table 6.7 Minimum Inspection Frequency</w:t>
      </w:r>
    </w:p>
    <w:tbl>
      <w:tblPr>
        <w:tblW w:w="10950" w:type="dxa"/>
        <w:tblBorders>
          <w:top w:val="single" w:sz="24" w:space="0" w:color="AEB3C5"/>
          <w:bottom w:val="single" w:sz="24" w:space="0" w:color="AE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4380"/>
      </w:tblGrid>
      <w:tr w:rsidR="0020406E" w:rsidRPr="0020406E" w14:paraId="00110466" w14:textId="77777777" w:rsidTr="0020406E">
        <w:trPr>
          <w:tblHeader/>
        </w:trPr>
        <w:tc>
          <w:tcPr>
            <w:tcW w:w="6570" w:type="dxa"/>
            <w:tcBorders>
              <w:top w:val="nil"/>
              <w:left w:val="nil"/>
              <w:bottom w:val="single" w:sz="24" w:space="0" w:color="AEB3C5"/>
              <w:right w:val="nil"/>
            </w:tcBorders>
            <w:vAlign w:val="bottom"/>
            <w:hideMark/>
          </w:tcPr>
          <w:p w14:paraId="179A1884" w14:textId="77777777" w:rsidR="0020406E" w:rsidRPr="0020406E" w:rsidRDefault="0020406E" w:rsidP="0020406E">
            <w:pPr>
              <w:rPr>
                <w:b/>
                <w:bCs/>
                <w:sz w:val="20"/>
                <w:szCs w:val="20"/>
              </w:rPr>
            </w:pPr>
            <w:r w:rsidRPr="0020406E">
              <w:rPr>
                <w:b/>
                <w:bCs/>
                <w:sz w:val="20"/>
                <w:szCs w:val="20"/>
              </w:rPr>
              <w:t>Occupancy Risk Classification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4" w:space="0" w:color="AEB3C5"/>
              <w:right w:val="nil"/>
            </w:tcBorders>
            <w:vAlign w:val="bottom"/>
            <w:hideMark/>
          </w:tcPr>
          <w:p w14:paraId="0DAB4F61" w14:textId="77777777" w:rsidR="0020406E" w:rsidRPr="0020406E" w:rsidRDefault="0020406E" w:rsidP="0020406E">
            <w:pPr>
              <w:rPr>
                <w:b/>
                <w:bCs/>
                <w:sz w:val="20"/>
                <w:szCs w:val="20"/>
              </w:rPr>
            </w:pPr>
            <w:r w:rsidRPr="0020406E">
              <w:rPr>
                <w:b/>
                <w:bCs/>
                <w:sz w:val="20"/>
                <w:szCs w:val="20"/>
              </w:rPr>
              <w:t>Frequency</w:t>
            </w:r>
          </w:p>
        </w:tc>
      </w:tr>
      <w:tr w:rsidR="0020406E" w:rsidRPr="0020406E" w14:paraId="47E467C6" w14:textId="77777777" w:rsidTr="0020406E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26D76" w14:textId="77777777" w:rsidR="0020406E" w:rsidRPr="0020406E" w:rsidRDefault="0020406E" w:rsidP="0020406E">
            <w:pPr>
              <w:rPr>
                <w:sz w:val="20"/>
                <w:szCs w:val="20"/>
              </w:rPr>
            </w:pPr>
            <w:r w:rsidRPr="0020406E">
              <w:rPr>
                <w:sz w:val="20"/>
                <w:szCs w:val="20"/>
              </w:rPr>
              <w:t>High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E0862" w14:textId="77777777" w:rsidR="0020406E" w:rsidRPr="0020406E" w:rsidRDefault="0020406E" w:rsidP="0020406E">
            <w:pPr>
              <w:rPr>
                <w:sz w:val="20"/>
                <w:szCs w:val="20"/>
              </w:rPr>
            </w:pPr>
            <w:r w:rsidRPr="0020406E">
              <w:rPr>
                <w:sz w:val="20"/>
                <w:szCs w:val="20"/>
              </w:rPr>
              <w:t>Annually</w:t>
            </w:r>
          </w:p>
        </w:tc>
      </w:tr>
      <w:tr w:rsidR="0020406E" w:rsidRPr="0020406E" w14:paraId="58F250A6" w14:textId="77777777" w:rsidTr="0020406E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DFE68" w14:textId="77777777" w:rsidR="0020406E" w:rsidRPr="0020406E" w:rsidRDefault="0020406E" w:rsidP="0020406E">
            <w:pPr>
              <w:rPr>
                <w:sz w:val="20"/>
                <w:szCs w:val="20"/>
              </w:rPr>
            </w:pPr>
            <w:r w:rsidRPr="0020406E">
              <w:rPr>
                <w:sz w:val="20"/>
                <w:szCs w:val="20"/>
              </w:rPr>
              <w:t>Moderate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5AFB4" w14:textId="77777777" w:rsidR="0020406E" w:rsidRPr="0020406E" w:rsidRDefault="0020406E" w:rsidP="0020406E">
            <w:pPr>
              <w:rPr>
                <w:sz w:val="20"/>
                <w:szCs w:val="20"/>
              </w:rPr>
            </w:pPr>
            <w:r w:rsidRPr="0020406E">
              <w:rPr>
                <w:sz w:val="20"/>
                <w:szCs w:val="20"/>
              </w:rPr>
              <w:t>Biennially</w:t>
            </w:r>
          </w:p>
        </w:tc>
      </w:tr>
      <w:tr w:rsidR="0020406E" w:rsidRPr="0020406E" w14:paraId="438E185B" w14:textId="77777777" w:rsidTr="0020406E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CDC59" w14:textId="77777777" w:rsidR="0020406E" w:rsidRPr="0020406E" w:rsidRDefault="0020406E" w:rsidP="0020406E">
            <w:pPr>
              <w:rPr>
                <w:sz w:val="20"/>
                <w:szCs w:val="20"/>
              </w:rPr>
            </w:pPr>
            <w:r w:rsidRPr="0020406E">
              <w:rPr>
                <w:sz w:val="20"/>
                <w:szCs w:val="20"/>
              </w:rPr>
              <w:t>Low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3FAF" w14:textId="77777777" w:rsidR="0020406E" w:rsidRPr="0020406E" w:rsidRDefault="0020406E" w:rsidP="0020406E">
            <w:pPr>
              <w:rPr>
                <w:sz w:val="20"/>
                <w:szCs w:val="20"/>
              </w:rPr>
            </w:pPr>
            <w:r w:rsidRPr="0020406E">
              <w:rPr>
                <w:sz w:val="20"/>
                <w:szCs w:val="20"/>
              </w:rPr>
              <w:t>Triennially</w:t>
            </w:r>
          </w:p>
        </w:tc>
      </w:tr>
      <w:tr w:rsidR="0020406E" w:rsidRPr="0020406E" w14:paraId="77DDC785" w14:textId="77777777" w:rsidTr="0020406E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93798" w14:textId="77777777" w:rsidR="0020406E" w:rsidRPr="0020406E" w:rsidRDefault="0020406E" w:rsidP="0020406E">
            <w:pPr>
              <w:rPr>
                <w:sz w:val="20"/>
                <w:szCs w:val="20"/>
              </w:rPr>
            </w:pPr>
            <w:r w:rsidRPr="0020406E">
              <w:rPr>
                <w:sz w:val="20"/>
                <w:szCs w:val="20"/>
              </w:rPr>
              <w:t>Critical infrastructure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6A892" w14:textId="77777777" w:rsidR="0020406E" w:rsidRPr="0020406E" w:rsidRDefault="0020406E" w:rsidP="0020406E">
            <w:pPr>
              <w:rPr>
                <w:sz w:val="20"/>
                <w:szCs w:val="20"/>
              </w:rPr>
            </w:pPr>
            <w:r w:rsidRPr="0020406E">
              <w:rPr>
                <w:sz w:val="20"/>
                <w:szCs w:val="20"/>
              </w:rPr>
              <w:t>Per AHJ</w:t>
            </w:r>
          </w:p>
        </w:tc>
      </w:tr>
    </w:tbl>
    <w:p w14:paraId="1BD18690" w14:textId="77777777" w:rsidR="0020406E" w:rsidRDefault="0020406E" w:rsidP="006B10C6"/>
    <w:sectPr w:rsidR="0020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02EB" w14:textId="77777777" w:rsidR="001051D3" w:rsidRDefault="001051D3" w:rsidP="006B10C6">
      <w:pPr>
        <w:spacing w:after="0" w:line="240" w:lineRule="auto"/>
      </w:pPr>
      <w:r>
        <w:separator/>
      </w:r>
    </w:p>
  </w:endnote>
  <w:endnote w:type="continuationSeparator" w:id="0">
    <w:p w14:paraId="7BF7D7EF" w14:textId="77777777" w:rsidR="001051D3" w:rsidRDefault="001051D3" w:rsidP="006B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A0DE" w14:textId="77777777" w:rsidR="001051D3" w:rsidRDefault="001051D3" w:rsidP="006B10C6">
      <w:pPr>
        <w:spacing w:after="0" w:line="240" w:lineRule="auto"/>
      </w:pPr>
      <w:r>
        <w:separator/>
      </w:r>
    </w:p>
  </w:footnote>
  <w:footnote w:type="continuationSeparator" w:id="0">
    <w:p w14:paraId="12CAB8E8" w14:textId="77777777" w:rsidR="001051D3" w:rsidRDefault="001051D3" w:rsidP="006B1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C6"/>
    <w:rsid w:val="001051D3"/>
    <w:rsid w:val="0020406E"/>
    <w:rsid w:val="006B10C6"/>
    <w:rsid w:val="009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F594"/>
  <w15:chartTrackingRefBased/>
  <w15:docId w15:val="{9EB307A8-54E9-4E2C-B127-97D0DE5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sub-section-detailtitle">
    <w:name w:val="c-sub-section-detail__title"/>
    <w:basedOn w:val="DefaultParagraphFont"/>
    <w:rsid w:val="006B10C6"/>
  </w:style>
  <w:style w:type="character" w:styleId="Hyperlink">
    <w:name w:val="Hyperlink"/>
    <w:basedOn w:val="DefaultParagraphFont"/>
    <w:uiPriority w:val="99"/>
    <w:semiHidden/>
    <w:unhideWhenUsed/>
    <w:rsid w:val="006B10C6"/>
    <w:rPr>
      <w:color w:val="0000FF"/>
      <w:u w:val="single"/>
    </w:rPr>
  </w:style>
  <w:style w:type="paragraph" w:customStyle="1" w:styleId="-base">
    <w:name w:val="-base"/>
    <w:basedOn w:val="Normal"/>
    <w:rsid w:val="006B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C6"/>
  </w:style>
  <w:style w:type="paragraph" w:styleId="Footer">
    <w:name w:val="footer"/>
    <w:basedOn w:val="Normal"/>
    <w:link w:val="FooterChar"/>
    <w:uiPriority w:val="99"/>
    <w:unhideWhenUsed/>
    <w:rsid w:val="006B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Flowers, Elijah</dc:creator>
  <cp:keywords/>
  <dc:description/>
  <cp:lastModifiedBy>Flowers, Elijah</cp:lastModifiedBy>
  <cp:revision>2</cp:revision>
  <dcterms:created xsi:type="dcterms:W3CDTF">2023-02-03T20:43:00Z</dcterms:created>
  <dcterms:modified xsi:type="dcterms:W3CDTF">2023-02-03T20:50:00Z</dcterms:modified>
</cp:coreProperties>
</file>