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3A" w:rsidRPr="00FA663A" w:rsidRDefault="00FA663A" w:rsidP="00FA663A">
      <w:pPr>
        <w:pStyle w:val="NormalWeb"/>
        <w:jc w:val="center"/>
        <w:rPr>
          <w:rFonts w:ascii="Times New Roman" w:hAnsi="Times New Roman"/>
          <w:color w:val="0070C0"/>
          <w:sz w:val="24"/>
          <w:szCs w:val="24"/>
        </w:rPr>
      </w:pPr>
      <w:r w:rsidRPr="00FA663A">
        <w:rPr>
          <w:rFonts w:ascii="Times New Roman" w:hAnsi="Times New Roman"/>
          <w:b/>
          <w:bCs/>
          <w:color w:val="0070C0"/>
          <w:sz w:val="24"/>
          <w:szCs w:val="24"/>
          <w:u w:val="single"/>
        </w:rPr>
        <w:t xml:space="preserve">APPENDIX F </w:t>
      </w:r>
    </w:p>
    <w:p w:rsidR="00FA663A" w:rsidRPr="00FA663A" w:rsidRDefault="00FA663A" w:rsidP="00FA663A">
      <w:pPr>
        <w:pStyle w:val="NormalWeb"/>
        <w:jc w:val="center"/>
        <w:rPr>
          <w:rFonts w:ascii="Times New Roman" w:hAnsi="Times New Roman"/>
          <w:color w:val="0070C0"/>
          <w:sz w:val="24"/>
          <w:szCs w:val="24"/>
        </w:rPr>
      </w:pPr>
      <w:r w:rsidRPr="00FA663A">
        <w:rPr>
          <w:rFonts w:ascii="Times New Roman" w:hAnsi="Times New Roman"/>
          <w:b/>
          <w:bCs/>
          <w:color w:val="0070C0"/>
          <w:sz w:val="24"/>
          <w:szCs w:val="24"/>
          <w:u w:val="single"/>
        </w:rPr>
        <w:t>Rodent Proofing</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i/>
          <w:iCs/>
          <w:color w:val="0070C0"/>
          <w:sz w:val="24"/>
          <w:szCs w:val="24"/>
          <w:u w:val="single"/>
        </w:rPr>
        <w:t>The provisions contained in this appendix are not mandatory unless specifically referenced in the adopting ordinance.</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b/>
          <w:bCs/>
          <w:color w:val="0070C0"/>
          <w:sz w:val="24"/>
          <w:szCs w:val="24"/>
          <w:u w:val="single"/>
        </w:rPr>
        <w:t>SECTION F101</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b/>
          <w:bCs/>
          <w:color w:val="0070C0"/>
          <w:sz w:val="24"/>
          <w:szCs w:val="24"/>
          <w:u w:val="single"/>
        </w:rPr>
        <w:t>GENERAL</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b/>
          <w:bCs/>
          <w:color w:val="0070C0"/>
          <w:sz w:val="24"/>
          <w:szCs w:val="24"/>
          <w:u w:val="single"/>
        </w:rPr>
        <w:t>F101.1 General.</w:t>
      </w:r>
      <w:r w:rsidRPr="00FA663A">
        <w:rPr>
          <w:rFonts w:ascii="Times New Roman" w:hAnsi="Times New Roman"/>
          <w:color w:val="0070C0"/>
          <w:sz w:val="24"/>
          <w:szCs w:val="24"/>
          <w:u w:val="single"/>
        </w:rPr>
        <w:t xml:space="preserve"> Buildings or structures and the walls enclosing habitable or </w:t>
      </w:r>
      <w:proofErr w:type="spellStart"/>
      <w:r w:rsidRPr="00FA663A">
        <w:rPr>
          <w:rFonts w:ascii="Times New Roman" w:hAnsi="Times New Roman"/>
          <w:color w:val="0070C0"/>
          <w:sz w:val="24"/>
          <w:szCs w:val="24"/>
          <w:u w:val="single"/>
        </w:rPr>
        <w:t>occupiable</w:t>
      </w:r>
      <w:proofErr w:type="spellEnd"/>
      <w:r w:rsidRPr="00FA663A">
        <w:rPr>
          <w:rFonts w:ascii="Times New Roman" w:hAnsi="Times New Roman"/>
          <w:color w:val="0070C0"/>
          <w:sz w:val="24"/>
          <w:szCs w:val="24"/>
          <w:u w:val="single"/>
        </w:rPr>
        <w:t xml:space="preserve"> rooms and spaces in which persons live, sleep or work, or in which feed, food or foodstuffs are stored, prepared, processed, served or sold, shall be constructed in accordance with the provisions of this section.</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b/>
          <w:bCs/>
          <w:color w:val="0070C0"/>
          <w:sz w:val="24"/>
          <w:szCs w:val="24"/>
          <w:u w:val="single"/>
        </w:rPr>
        <w:t xml:space="preserve">F101.2 Foundation wall ventilation openings. </w:t>
      </w:r>
      <w:r w:rsidRPr="00FA663A">
        <w:rPr>
          <w:rFonts w:ascii="Times New Roman" w:hAnsi="Times New Roman"/>
          <w:color w:val="0070C0"/>
          <w:sz w:val="24"/>
          <w:szCs w:val="24"/>
          <w:u w:val="single"/>
        </w:rPr>
        <w:t>Foundation wall ventilator openings shall be covered for their height and width with perforated sheet metal plates no less than 0.070 inch (1.8 mm) thick, expanded sheet metal plates not less than 0.047 inch (1.2 mm) thick, cast iron grills or grating, extruded aluminum load-bearing vents or with hardware cloth of 0.035 inch (0.89 mm) wire or heavier. The openings therein shall not exceed 1/4 inch (6.4 mm).</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F101.3 Foundation and exterior wall sealing.</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Annular spaces around pipes, electric cables, conduits, or other openings in the walls shall be protected against the passage of rodents by closing such openings with cement mortar, concrete masonry or noncorrosive metal.</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F101.4 Doors.</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Doors on which metal protection has been applied shall be hinged so as to be free swinging. When closed, the maximum clearance between any door, door jambs and sills shall not be greater than 3/8 inch (9.5 mm).</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F101.5 Windows and other openings.</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 xml:space="preserve">Windows and other openings for the purpose of light or ventilation located in exterior walls within 2 feet (610 mm) above the existing ground level </w:t>
      </w:r>
      <w:r w:rsidRPr="00FA663A">
        <w:rPr>
          <w:rFonts w:ascii="Times New Roman" w:hAnsi="Times New Roman"/>
          <w:color w:val="0070C0"/>
          <w:sz w:val="24"/>
          <w:szCs w:val="24"/>
          <w:u w:val="single"/>
        </w:rPr>
        <w:lastRenderedPageBreak/>
        <w:t>immediately below such opening shall be covered for their entire height and width, including frame, with hardware cloth of at least 0.035 inch (0.89 mm) wire or heavier.</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F101.5.1 Rodent-accessible openings.</w:t>
      </w:r>
      <w:proofErr w:type="gramEnd"/>
      <w:r w:rsidRPr="00FA663A">
        <w:rPr>
          <w:rFonts w:ascii="Times New Roman" w:hAnsi="Times New Roman"/>
          <w:color w:val="0070C0"/>
          <w:sz w:val="24"/>
          <w:szCs w:val="24"/>
          <w:u w:val="single"/>
        </w:rPr>
        <w:t xml:space="preserve"> Windows and other openings for the purpose of light and ventilation in the exterior walls not covered in this chapter, accessible to rodents by way of exposed pipes, wires, conduits and other appurtenances, shall be covered with wire cloth of at least 0.035 inch (0.89 mm) wire. In lieu of wire cloth covering, said pipes, wires, conduits and other appurtenances shall be blocked from rodent usage by installing solid sheet metal guards 0.024 inch (0.61 mm) thick or heavier. Guards shall be fitted around pipes, wires, conduits or other appurtenances. In addition, they shall be fastened securely to and shall extend perpendicularly from the exterior wall for a minimum distance of 12 inches (305 mm) beyond and on either side of pipes, wires, conduits or appurtenances.</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F101.6 Pier and wood construction.</w:t>
      </w:r>
      <w:proofErr w:type="gramEnd"/>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F101.6.1 Sill less than 12 inches above ground.</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Buildings not provided with a continuous foundation shall be provided with protection against rodents at grade by providing either an apron in accordance with Section F101.6.1.1 or a floor slab in accordance with Section F101.6.1.2.</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F101.6.1.1 Apron.</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 xml:space="preserve">Where an apron is provided, the apron shall not be less than 8 inches (203 mm) above, nor less than 24 inches (610 mm) below, grade. The apron shall not terminate below the lower edge of the siding material. The apron shall be constructed of an approved </w:t>
      </w:r>
      <w:proofErr w:type="spellStart"/>
      <w:r w:rsidRPr="00FA663A">
        <w:rPr>
          <w:rFonts w:ascii="Times New Roman" w:hAnsi="Times New Roman"/>
          <w:color w:val="0070C0"/>
          <w:sz w:val="24"/>
          <w:szCs w:val="24"/>
          <w:u w:val="single"/>
        </w:rPr>
        <w:t>nondecayable</w:t>
      </w:r>
      <w:proofErr w:type="spellEnd"/>
      <w:r w:rsidRPr="00FA663A">
        <w:rPr>
          <w:rFonts w:ascii="Times New Roman" w:hAnsi="Times New Roman"/>
          <w:color w:val="0070C0"/>
          <w:sz w:val="24"/>
          <w:szCs w:val="24"/>
          <w:u w:val="single"/>
        </w:rPr>
        <w:t xml:space="preserve">, water-resistant </w:t>
      </w:r>
      <w:proofErr w:type="spellStart"/>
      <w:r w:rsidRPr="00FA663A">
        <w:rPr>
          <w:rFonts w:ascii="Times New Roman" w:hAnsi="Times New Roman"/>
          <w:color w:val="0070C0"/>
          <w:sz w:val="24"/>
          <w:szCs w:val="24"/>
          <w:u w:val="single"/>
        </w:rPr>
        <w:t>rodentproofing</w:t>
      </w:r>
      <w:proofErr w:type="spellEnd"/>
      <w:r w:rsidRPr="00FA663A">
        <w:rPr>
          <w:rFonts w:ascii="Times New Roman" w:hAnsi="Times New Roman"/>
          <w:color w:val="0070C0"/>
          <w:sz w:val="24"/>
          <w:szCs w:val="24"/>
          <w:u w:val="single"/>
        </w:rPr>
        <w:t xml:space="preserve"> material of required strength and shall be installed around the entire perimeter of the building. Where constructed of masonry or concrete materials, the apron shall not be less than 4 inches (102 mm) in thickness.</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F101.6.1.2 Grade floors.</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Where continuous concrete grade floor slabs are provided, open spaces shall not be left between the slab and walls, and openings in the slab shall be protected.</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proofErr w:type="gramStart"/>
      <w:r w:rsidRPr="00FA663A">
        <w:rPr>
          <w:rFonts w:ascii="Times New Roman" w:hAnsi="Times New Roman"/>
          <w:b/>
          <w:bCs/>
          <w:color w:val="0070C0"/>
          <w:sz w:val="24"/>
          <w:szCs w:val="24"/>
          <w:u w:val="single"/>
        </w:rPr>
        <w:t>F101.6.2 Sill at or above 12 inches above ground.</w:t>
      </w:r>
      <w:proofErr w:type="gramEnd"/>
      <w:r w:rsidRPr="00FA663A">
        <w:rPr>
          <w:rFonts w:ascii="Times New Roman" w:hAnsi="Times New Roman"/>
          <w:b/>
          <w:bCs/>
          <w:color w:val="0070C0"/>
          <w:sz w:val="24"/>
          <w:szCs w:val="24"/>
          <w:u w:val="single"/>
        </w:rPr>
        <w:t xml:space="preserve"> </w:t>
      </w:r>
      <w:r w:rsidRPr="00FA663A">
        <w:rPr>
          <w:rFonts w:ascii="Times New Roman" w:hAnsi="Times New Roman"/>
          <w:color w:val="0070C0"/>
          <w:sz w:val="24"/>
          <w:szCs w:val="24"/>
          <w:u w:val="single"/>
        </w:rPr>
        <w:t>Buildings not provided with a continuous foundation and which have sills 12 or more inches (305 mm) above the ground level shall be provide with protection against rodents at grade in accordance with any of the following:</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u w:val="single"/>
        </w:rPr>
        <w:t>1. Section F101.6.1.1 or F101.6.1.2;</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lastRenderedPageBreak/>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u w:val="single"/>
        </w:rPr>
        <w:t>2. By installing solid sheet metal collars at least 0.024 inch (0.6 mm) thick at the top of each pier or pile and around each pipe, cable, conduit, wire or other item which provides a continuous pathway from the ground to the floor; or</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rPr>
        <w:t> </w:t>
      </w:r>
    </w:p>
    <w:p w:rsidR="00FA663A" w:rsidRPr="00FA663A" w:rsidRDefault="00FA663A" w:rsidP="00FA663A">
      <w:pPr>
        <w:pStyle w:val="NormalWeb"/>
        <w:rPr>
          <w:rFonts w:ascii="Times New Roman" w:hAnsi="Times New Roman"/>
          <w:color w:val="0070C0"/>
          <w:sz w:val="24"/>
          <w:szCs w:val="24"/>
        </w:rPr>
      </w:pPr>
      <w:r w:rsidRPr="00FA663A">
        <w:rPr>
          <w:rFonts w:ascii="Times New Roman" w:hAnsi="Times New Roman"/>
          <w:color w:val="0070C0"/>
          <w:sz w:val="24"/>
          <w:szCs w:val="24"/>
          <w:u w:val="single"/>
        </w:rPr>
        <w:t xml:space="preserve">3. </w:t>
      </w:r>
      <w:proofErr w:type="gramStart"/>
      <w:r w:rsidRPr="00FA663A">
        <w:rPr>
          <w:rFonts w:ascii="Times New Roman" w:hAnsi="Times New Roman"/>
          <w:color w:val="0070C0"/>
          <w:sz w:val="24"/>
          <w:szCs w:val="24"/>
          <w:u w:val="single"/>
        </w:rPr>
        <w:t>By</w:t>
      </w:r>
      <w:proofErr w:type="gramEnd"/>
      <w:r w:rsidRPr="00FA663A">
        <w:rPr>
          <w:rFonts w:ascii="Times New Roman" w:hAnsi="Times New Roman"/>
          <w:color w:val="0070C0"/>
          <w:sz w:val="24"/>
          <w:szCs w:val="24"/>
          <w:u w:val="single"/>
        </w:rPr>
        <w:t xml:space="preserve"> encasing the pipes, cables, conduits or wires in an enclosure constructed in accordance with Section F101.6.1.1.</w:t>
      </w:r>
    </w:p>
    <w:p w:rsidR="00FA663A" w:rsidRPr="00FA663A" w:rsidRDefault="00FA663A" w:rsidP="00FA663A">
      <w:pPr>
        <w:pStyle w:val="NormalWeb"/>
        <w:rPr>
          <w:rFonts w:ascii="Times New Roman" w:hAnsi="Times New Roman"/>
          <w:b/>
          <w:color w:val="0070C0"/>
          <w:sz w:val="24"/>
          <w:szCs w:val="24"/>
        </w:rPr>
      </w:pPr>
      <w:r w:rsidRPr="00FA663A">
        <w:rPr>
          <w:rFonts w:ascii="Times New Roman" w:hAnsi="Times New Roman"/>
          <w:b/>
          <w:color w:val="0070C0"/>
          <w:sz w:val="24"/>
          <w:szCs w:val="24"/>
        </w:rPr>
        <w:t>[SP4764]</w:t>
      </w:r>
    </w:p>
    <w:p w:rsidR="00FA663A" w:rsidRPr="00FA663A" w:rsidRDefault="00FA663A" w:rsidP="00FA663A">
      <w:pPr>
        <w:pStyle w:val="NormalWeb"/>
        <w:rPr>
          <w:b/>
          <w:color w:val="0070C0"/>
          <w:sz w:val="24"/>
          <w:szCs w:val="24"/>
        </w:rPr>
      </w:pPr>
    </w:p>
    <w:p w:rsidR="008F7527" w:rsidRPr="00FA663A" w:rsidRDefault="008F7527">
      <w:pPr>
        <w:rPr>
          <w:color w:val="0070C0"/>
        </w:rPr>
      </w:pPr>
    </w:p>
    <w:sectPr w:rsidR="008F7527" w:rsidRPr="00FA663A" w:rsidSect="00C8389B">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663A"/>
    <w:rsid w:val="008534A1"/>
    <w:rsid w:val="008F7527"/>
    <w:rsid w:val="00FA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63A"/>
    <w:pPr>
      <w:spacing w:before="100" w:beforeAutospacing="1" w:after="100" w:afterAutospacing="1" w:line="240" w:lineRule="auto"/>
    </w:pPr>
    <w:rPr>
      <w:rFonts w:ascii="Verdana" w:eastAsia="Times New Roman"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3675</Characters>
  <Application>Microsoft Office Word</Application>
  <DocSecurity>0</DocSecurity>
  <Lines>30</Lines>
  <Paragraphs>8</Paragraphs>
  <ScaleCrop>false</ScaleCrop>
  <Company>DCA</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JoeBi</dc:creator>
  <cp:keywords/>
  <dc:description/>
  <cp:lastModifiedBy>JoeBi</cp:lastModifiedBy>
  <cp:revision>1</cp:revision>
  <dcterms:created xsi:type="dcterms:W3CDTF">2011-07-01T14:31:00Z</dcterms:created>
  <dcterms:modified xsi:type="dcterms:W3CDTF">2011-07-01T14:32:00Z</dcterms:modified>
</cp:coreProperties>
</file>