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5B0920" w:rsidRPr="001B74F4" w14:paraId="2C272AF3" w14:textId="77777777" w:rsidTr="00977244">
        <w:tc>
          <w:tcPr>
            <w:tcW w:w="10770" w:type="dxa"/>
            <w:shd w:val="clear" w:color="auto" w:fill="DAEEF3" w:themeFill="accent5" w:themeFillTint="33"/>
          </w:tcPr>
          <w:p w14:paraId="0EC16407" w14:textId="27E94FB1" w:rsidR="005B0920" w:rsidRPr="001B74F4" w:rsidRDefault="005B0920" w:rsidP="00457266">
            <w:pPr>
              <w:spacing w:before="40" w:after="40"/>
              <w:jc w:val="center"/>
              <w:rPr>
                <w:rFonts w:ascii="Garamond" w:hAnsi="Garamond"/>
                <w:b/>
                <w:smallCaps/>
                <w:sz w:val="28"/>
                <w:szCs w:val="24"/>
              </w:rPr>
            </w:pPr>
            <w:r w:rsidRPr="001B74F4">
              <w:rPr>
                <w:rFonts w:ascii="Garamond" w:hAnsi="Garamond"/>
                <w:b/>
                <w:smallCaps/>
                <w:sz w:val="28"/>
                <w:szCs w:val="24"/>
              </w:rPr>
              <w:t>Fire Technical Advisory Committee (TAC) – 3 Comments</w:t>
            </w:r>
          </w:p>
        </w:tc>
      </w:tr>
      <w:tr w:rsidR="00EB3EBB" w:rsidRPr="001B74F4" w14:paraId="6D0F250C" w14:textId="77777777" w:rsidTr="00977244">
        <w:tc>
          <w:tcPr>
            <w:tcW w:w="10770" w:type="dxa"/>
          </w:tcPr>
          <w:p w14:paraId="42CF8EFC" w14:textId="77777777" w:rsidR="00EB3EBB" w:rsidRPr="001B74F4" w:rsidRDefault="00EB3EBB" w:rsidP="00EB3EBB">
            <w:pPr>
              <w:rPr>
                <w:rFonts w:ascii="Garamond" w:hAnsi="Garamond"/>
                <w:b/>
                <w:sz w:val="24"/>
                <w:szCs w:val="24"/>
              </w:rPr>
            </w:pPr>
            <w:r w:rsidRPr="001B74F4">
              <w:rPr>
                <w:rFonts w:ascii="Garamond" w:hAnsi="Garamond"/>
                <w:b/>
                <w:bCs/>
                <w:color w:val="FF0000"/>
                <w:szCs w:val="22"/>
              </w:rPr>
              <w:t>8th Edition (2023) Florida Building Code, Building</w:t>
            </w:r>
          </w:p>
          <w:p w14:paraId="2FAD405A" w14:textId="77777777" w:rsidR="00EB3EBB" w:rsidRPr="001B74F4" w:rsidRDefault="00EB3EBB" w:rsidP="00EB3EBB">
            <w:pPr>
              <w:autoSpaceDE w:val="0"/>
              <w:autoSpaceDN w:val="0"/>
              <w:adjustRightInd w:val="0"/>
              <w:rPr>
                <w:rFonts w:ascii="Garamond" w:hAnsi="Garamond" w:cs="Arial"/>
                <w:b/>
                <w:bCs/>
                <w:sz w:val="24"/>
                <w:szCs w:val="24"/>
              </w:rPr>
            </w:pPr>
            <w:r w:rsidRPr="001B74F4">
              <w:rPr>
                <w:rFonts w:ascii="Garamond" w:hAnsi="Garamond" w:cs="Arial"/>
                <w:b/>
                <w:bCs/>
                <w:sz w:val="24"/>
                <w:szCs w:val="24"/>
              </w:rPr>
              <w:t xml:space="preserve">CHAPTER 10 </w:t>
            </w:r>
            <w:r w:rsidRPr="001B74F4">
              <w:rPr>
                <w:rFonts w:ascii="Garamond" w:hAnsi="Garamond" w:cs="Helvetica-Bold"/>
                <w:b/>
                <w:bCs/>
                <w:sz w:val="24"/>
                <w:szCs w:val="24"/>
              </w:rPr>
              <w:t>MEANS OF EGRESS</w:t>
            </w:r>
          </w:p>
          <w:p w14:paraId="248A7844" w14:textId="39983817" w:rsidR="00EB3EBB" w:rsidRPr="001B74F4" w:rsidRDefault="00EB3EBB" w:rsidP="00EB3EBB">
            <w:pPr>
              <w:rPr>
                <w:rFonts w:ascii="Garamond" w:hAnsi="Garamond"/>
                <w:b/>
                <w:bCs/>
                <w:color w:val="FF0000"/>
                <w:sz w:val="24"/>
                <w:szCs w:val="24"/>
                <w:u w:val="single"/>
              </w:rPr>
            </w:pPr>
            <w:r w:rsidRPr="001B74F4">
              <w:rPr>
                <w:rFonts w:ascii="Garamond" w:hAnsi="Garamond"/>
                <w:b/>
                <w:bCs/>
                <w:color w:val="FF0000"/>
                <w:sz w:val="24"/>
                <w:szCs w:val="24"/>
                <w:highlight w:val="yellow"/>
                <w:u w:val="single"/>
              </w:rPr>
              <w:t xml:space="preserve">1) F-B-Ch.10 – Comment #1 </w:t>
            </w:r>
            <w:r w:rsidRPr="001B74F4">
              <w:rPr>
                <w:rFonts w:ascii="Garamond" w:hAnsi="Garamond"/>
                <w:b/>
                <w:bCs/>
                <w:color w:val="0070C0"/>
                <w:sz w:val="24"/>
                <w:szCs w:val="24"/>
                <w:highlight w:val="yellow"/>
                <w:u w:val="single"/>
              </w:rPr>
              <w:t>[New Subject]</w:t>
            </w:r>
            <w:r w:rsidR="00800AF4">
              <w:rPr>
                <w:rFonts w:ascii="Garamond" w:hAnsi="Garamond"/>
                <w:b/>
                <w:bCs/>
                <w:color w:val="0070C0"/>
                <w:sz w:val="24"/>
                <w:szCs w:val="24"/>
                <w:u w:val="single"/>
              </w:rPr>
              <w:t xml:space="preserve"> </w:t>
            </w:r>
            <w:r w:rsidR="00800AF4" w:rsidRPr="00800AF4">
              <w:rPr>
                <w:rFonts w:ascii="Garamond" w:hAnsi="Garamond"/>
                <w:b/>
                <w:bCs/>
                <w:color w:val="0070C0"/>
                <w:sz w:val="24"/>
                <w:szCs w:val="24"/>
              </w:rPr>
              <w:t>(Page 1)</w:t>
            </w:r>
          </w:p>
          <w:p w14:paraId="6F348BB0" w14:textId="77777777" w:rsidR="00EB3EBB" w:rsidRPr="001B74F4" w:rsidRDefault="00EB3EBB" w:rsidP="00EB3EBB">
            <w:pPr>
              <w:rPr>
                <w:rFonts w:ascii="Garamond" w:hAnsi="Garamond"/>
                <w:b/>
                <w:bCs/>
                <w:sz w:val="24"/>
                <w:szCs w:val="24"/>
              </w:rPr>
            </w:pPr>
            <w:r w:rsidRPr="001B74F4">
              <w:rPr>
                <w:rFonts w:ascii="Garamond" w:hAnsi="Garamond"/>
                <w:b/>
                <w:bCs/>
                <w:sz w:val="24"/>
                <w:szCs w:val="24"/>
              </w:rPr>
              <w:t>John Barrios, CBO, Hillsborough County</w:t>
            </w:r>
          </w:p>
          <w:p w14:paraId="4DDFC79D" w14:textId="77777777" w:rsidR="00EB3EBB" w:rsidRPr="001B74F4" w:rsidRDefault="00EB3EBB" w:rsidP="00EB3EBB">
            <w:pPr>
              <w:rPr>
                <w:rFonts w:ascii="Garamond" w:hAnsi="Garamond"/>
                <w:b/>
                <w:sz w:val="24"/>
                <w:szCs w:val="24"/>
              </w:rPr>
            </w:pPr>
            <w:r w:rsidRPr="001B74F4">
              <w:rPr>
                <w:rFonts w:ascii="Garamond" w:hAnsi="Garamond"/>
                <w:b/>
                <w:bCs/>
                <w:sz w:val="24"/>
                <w:szCs w:val="24"/>
              </w:rPr>
              <w:t>Revise Section 1015.8 of the FBC-B</w:t>
            </w:r>
          </w:p>
          <w:p w14:paraId="4E501B6B" w14:textId="1C9668EE" w:rsidR="002344B8" w:rsidRPr="00AF43ED" w:rsidRDefault="00AF43ED" w:rsidP="002344B8">
            <w:pPr>
              <w:rPr>
                <w:rFonts w:ascii="Garamond" w:hAnsi="Garamond"/>
                <w:bCs/>
                <w:sz w:val="24"/>
                <w:szCs w:val="24"/>
              </w:rPr>
            </w:pPr>
            <w:r w:rsidRPr="00AF43ED">
              <w:rPr>
                <w:rFonts w:ascii="Garamond" w:hAnsi="Garamond"/>
                <w:bCs/>
                <w:sz w:val="24"/>
                <w:szCs w:val="24"/>
              </w:rPr>
              <w:t>(</w:t>
            </w:r>
            <w:r w:rsidR="002344B8" w:rsidRPr="00AF43ED">
              <w:rPr>
                <w:rFonts w:ascii="Garamond" w:hAnsi="Garamond"/>
                <w:bCs/>
                <w:sz w:val="24"/>
                <w:szCs w:val="24"/>
              </w:rPr>
              <w:t>Correct Conflict between FBC Building and FBC Existing Building Code</w:t>
            </w:r>
            <w:r w:rsidR="0071002E">
              <w:rPr>
                <w:rFonts w:ascii="Garamond" w:hAnsi="Garamond"/>
                <w:bCs/>
                <w:sz w:val="24"/>
                <w:szCs w:val="24"/>
              </w:rPr>
              <w:t xml:space="preserve"> - Correlation</w:t>
            </w:r>
            <w:r w:rsidRPr="00AF43ED">
              <w:rPr>
                <w:rFonts w:ascii="Garamond" w:hAnsi="Garamond"/>
                <w:bCs/>
                <w:sz w:val="24"/>
                <w:szCs w:val="24"/>
              </w:rPr>
              <w:t>)</w:t>
            </w:r>
          </w:p>
          <w:p w14:paraId="1CF9A270" w14:textId="77777777" w:rsidR="00EB3EBB" w:rsidRPr="001B74F4" w:rsidRDefault="00EB3EBB" w:rsidP="00EB3EBB">
            <w:pPr>
              <w:rPr>
                <w:rFonts w:ascii="Garamond" w:hAnsi="Garamond"/>
                <w:b/>
                <w:sz w:val="24"/>
                <w:szCs w:val="24"/>
              </w:rPr>
            </w:pPr>
          </w:p>
          <w:p w14:paraId="3831E446" w14:textId="1D770597" w:rsidR="00EB3EBB" w:rsidRPr="001B74F4" w:rsidRDefault="00EB3EBB" w:rsidP="00A25315">
            <w:pPr>
              <w:shd w:val="clear" w:color="auto" w:fill="FFFFFF"/>
              <w:spacing w:line="360" w:lineRule="auto"/>
              <w:outlineLvl w:val="0"/>
              <w:rPr>
                <w:rFonts w:ascii="Garamond" w:eastAsia="Times New Roman" w:hAnsi="Garamond" w:cs="Arial"/>
                <w:b/>
                <w:bCs/>
                <w:color w:val="000000"/>
                <w:kern w:val="36"/>
                <w:sz w:val="24"/>
                <w:szCs w:val="24"/>
              </w:rPr>
            </w:pPr>
            <w:r w:rsidRPr="001B74F4">
              <w:rPr>
                <w:rFonts w:ascii="Garamond" w:eastAsia="Times New Roman" w:hAnsi="Garamond" w:cs="Arial"/>
                <w:b/>
                <w:bCs/>
                <w:color w:val="000000"/>
                <w:kern w:val="36"/>
                <w:sz w:val="24"/>
                <w:szCs w:val="24"/>
              </w:rPr>
              <w:t>TAC Recommendation:</w:t>
            </w:r>
            <w:r w:rsidR="00A25315" w:rsidRPr="001B74F4">
              <w:rPr>
                <w:rFonts w:ascii="Garamond" w:eastAsia="Times New Roman" w:hAnsi="Garamond" w:cs="Arial"/>
                <w:b/>
                <w:bCs/>
                <w:color w:val="000000"/>
                <w:kern w:val="36"/>
                <w:sz w:val="24"/>
                <w:szCs w:val="24"/>
              </w:rPr>
              <w:t xml:space="preserve"> </w:t>
            </w:r>
            <w:r w:rsidR="00B434CD" w:rsidRPr="00B434CD">
              <w:rPr>
                <w:rFonts w:ascii="Garamond" w:eastAsia="Times New Roman" w:hAnsi="Garamond" w:cs="Arial"/>
                <w:b/>
                <w:bCs/>
                <w:color w:val="00B050"/>
                <w:kern w:val="36"/>
                <w:sz w:val="24"/>
                <w:szCs w:val="24"/>
              </w:rPr>
              <w:t>Approval 10 - 0</w:t>
            </w:r>
            <w:r w:rsidRPr="001B74F4">
              <w:rPr>
                <w:rFonts w:ascii="Garamond" w:eastAsia="Times New Roman" w:hAnsi="Garamond" w:cs="Arial"/>
                <w:bCs/>
                <w:color w:val="000000"/>
                <w:kern w:val="36"/>
                <w:sz w:val="24"/>
                <w:szCs w:val="24"/>
                <w:u w:val="single"/>
              </w:rPr>
              <w:br/>
            </w:r>
            <w:r w:rsidRPr="001B74F4">
              <w:rPr>
                <w:rFonts w:ascii="Garamond" w:eastAsia="Times New Roman" w:hAnsi="Garamond" w:cs="Arial"/>
                <w:b/>
                <w:bCs/>
                <w:color w:val="000000"/>
                <w:kern w:val="36"/>
                <w:sz w:val="24"/>
                <w:szCs w:val="24"/>
              </w:rPr>
              <w:t>Commission Action:</w:t>
            </w:r>
          </w:p>
        </w:tc>
      </w:tr>
      <w:tr w:rsidR="006B0E89" w:rsidRPr="001B74F4" w14:paraId="0794F592" w14:textId="77777777" w:rsidTr="00977244">
        <w:tc>
          <w:tcPr>
            <w:tcW w:w="10770" w:type="dxa"/>
          </w:tcPr>
          <w:p w14:paraId="27E71FBE" w14:textId="1534B818" w:rsidR="006B0E89" w:rsidRPr="001B74F4" w:rsidRDefault="006B0E89" w:rsidP="006B0E89">
            <w:pPr>
              <w:rPr>
                <w:rFonts w:ascii="Garamond" w:hAnsi="Garamond"/>
                <w:b/>
                <w:sz w:val="24"/>
                <w:szCs w:val="24"/>
              </w:rPr>
            </w:pPr>
            <w:r w:rsidRPr="001B74F4">
              <w:rPr>
                <w:rFonts w:ascii="Garamond" w:hAnsi="Garamond"/>
                <w:b/>
                <w:bCs/>
                <w:color w:val="FF0000"/>
                <w:szCs w:val="22"/>
              </w:rPr>
              <w:t>8th Edition (2023) Florida Building Code, Residential</w:t>
            </w:r>
          </w:p>
          <w:p w14:paraId="68B98B38" w14:textId="77777777" w:rsidR="006B0E89" w:rsidRPr="001B74F4" w:rsidRDefault="006B0E89" w:rsidP="006B0E89">
            <w:pPr>
              <w:autoSpaceDE w:val="0"/>
              <w:autoSpaceDN w:val="0"/>
              <w:adjustRightInd w:val="0"/>
              <w:rPr>
                <w:rFonts w:ascii="Garamond" w:eastAsia="Times New Roman" w:hAnsi="Garamond" w:cs="Arial"/>
                <w:b/>
                <w:bCs/>
                <w:color w:val="000000"/>
                <w:kern w:val="36"/>
                <w:sz w:val="24"/>
                <w:szCs w:val="24"/>
              </w:rPr>
            </w:pPr>
            <w:r w:rsidRPr="001B74F4">
              <w:rPr>
                <w:rFonts w:ascii="Garamond" w:hAnsi="Garamond" w:cs="Helvetica-Bold"/>
                <w:b/>
                <w:bCs/>
                <w:sz w:val="24"/>
                <w:szCs w:val="24"/>
              </w:rPr>
              <w:t>CHAPTER 2 DEFINITIONS</w:t>
            </w:r>
          </w:p>
          <w:p w14:paraId="311EE353" w14:textId="551A95D6" w:rsidR="006B0E89" w:rsidRPr="001B74F4" w:rsidRDefault="006B0E89" w:rsidP="006B0E89">
            <w:pPr>
              <w:rPr>
                <w:rFonts w:ascii="Garamond" w:hAnsi="Garamond"/>
                <w:b/>
                <w:bCs/>
                <w:color w:val="FF0000"/>
                <w:sz w:val="24"/>
                <w:szCs w:val="24"/>
                <w:u w:val="single"/>
              </w:rPr>
            </w:pPr>
            <w:r w:rsidRPr="001B74F4">
              <w:rPr>
                <w:rFonts w:ascii="Garamond" w:hAnsi="Garamond"/>
                <w:b/>
                <w:bCs/>
                <w:color w:val="FF0000"/>
                <w:sz w:val="24"/>
                <w:szCs w:val="24"/>
                <w:highlight w:val="yellow"/>
                <w:u w:val="single"/>
              </w:rPr>
              <w:t xml:space="preserve">2) F-R-Ch.2 – Comment #1 </w:t>
            </w:r>
            <w:r w:rsidRPr="001B74F4">
              <w:rPr>
                <w:rFonts w:ascii="Garamond" w:hAnsi="Garamond"/>
                <w:b/>
                <w:bCs/>
                <w:color w:val="0070C0"/>
                <w:sz w:val="24"/>
                <w:szCs w:val="24"/>
                <w:highlight w:val="yellow"/>
                <w:u w:val="single"/>
              </w:rPr>
              <w:t>[New Subject]</w:t>
            </w:r>
            <w:r w:rsidR="009C2179">
              <w:rPr>
                <w:rFonts w:ascii="Garamond" w:hAnsi="Garamond"/>
                <w:b/>
                <w:bCs/>
                <w:color w:val="0070C0"/>
                <w:sz w:val="24"/>
                <w:szCs w:val="24"/>
                <w:u w:val="single"/>
              </w:rPr>
              <w:t xml:space="preserve"> </w:t>
            </w:r>
            <w:r w:rsidR="009C2179" w:rsidRPr="009C2179">
              <w:rPr>
                <w:rFonts w:ascii="Garamond" w:hAnsi="Garamond"/>
                <w:b/>
                <w:bCs/>
                <w:color w:val="0070C0"/>
                <w:sz w:val="24"/>
                <w:szCs w:val="24"/>
              </w:rPr>
              <w:t>(P</w:t>
            </w:r>
            <w:r w:rsidR="009C2179">
              <w:rPr>
                <w:rFonts w:ascii="Garamond" w:hAnsi="Garamond"/>
                <w:b/>
                <w:bCs/>
                <w:color w:val="0070C0"/>
                <w:sz w:val="24"/>
                <w:szCs w:val="24"/>
              </w:rPr>
              <w:t>age 3</w:t>
            </w:r>
            <w:r w:rsidR="009C2179" w:rsidRPr="009C2179">
              <w:rPr>
                <w:rFonts w:ascii="Garamond" w:hAnsi="Garamond"/>
                <w:b/>
                <w:bCs/>
                <w:color w:val="0070C0"/>
                <w:sz w:val="24"/>
                <w:szCs w:val="24"/>
              </w:rPr>
              <w:t>)</w:t>
            </w:r>
          </w:p>
          <w:p w14:paraId="0903A3EC" w14:textId="3CEEB5B1" w:rsidR="006B0E89" w:rsidRPr="001B74F4" w:rsidRDefault="006B0E89" w:rsidP="006B0E89">
            <w:pPr>
              <w:rPr>
                <w:rFonts w:ascii="Garamond" w:hAnsi="Garamond"/>
                <w:b/>
                <w:bCs/>
                <w:sz w:val="24"/>
                <w:szCs w:val="24"/>
              </w:rPr>
            </w:pPr>
            <w:r w:rsidRPr="001B74F4">
              <w:rPr>
                <w:rFonts w:ascii="Garamond" w:hAnsi="Garamond"/>
                <w:b/>
                <w:bCs/>
                <w:sz w:val="24"/>
                <w:szCs w:val="24"/>
              </w:rPr>
              <w:t>John Barrios, CBO, Hillsborough County</w:t>
            </w:r>
          </w:p>
          <w:p w14:paraId="6BB4541F" w14:textId="77777777" w:rsidR="006B0E89" w:rsidRPr="001B74F4" w:rsidRDefault="006B0E89" w:rsidP="006B0E89">
            <w:pPr>
              <w:rPr>
                <w:rFonts w:ascii="Garamond" w:hAnsi="Garamond"/>
                <w:b/>
                <w:sz w:val="24"/>
                <w:szCs w:val="24"/>
              </w:rPr>
            </w:pPr>
            <w:r w:rsidRPr="001B74F4">
              <w:rPr>
                <w:rFonts w:ascii="Garamond" w:hAnsi="Garamond"/>
                <w:b/>
                <w:bCs/>
                <w:sz w:val="24"/>
                <w:szCs w:val="24"/>
              </w:rPr>
              <w:t>Revise Definition in the FBC-R 202</w:t>
            </w:r>
          </w:p>
          <w:p w14:paraId="32B354B9" w14:textId="77777777" w:rsidR="00945D3B" w:rsidRPr="001B74F4" w:rsidRDefault="00945D3B" w:rsidP="006B0E89">
            <w:pPr>
              <w:rPr>
                <w:rFonts w:ascii="Garamond" w:hAnsi="Garamond"/>
                <w:b/>
                <w:sz w:val="24"/>
                <w:szCs w:val="24"/>
              </w:rPr>
            </w:pPr>
          </w:p>
          <w:p w14:paraId="68AE7394" w14:textId="5A073D35" w:rsidR="006B0E89" w:rsidRPr="001B74F4" w:rsidRDefault="006B0E89" w:rsidP="00A25315">
            <w:pPr>
              <w:shd w:val="clear" w:color="auto" w:fill="FFFFFF"/>
              <w:spacing w:line="360" w:lineRule="auto"/>
              <w:outlineLvl w:val="0"/>
              <w:rPr>
                <w:rFonts w:ascii="Garamond" w:eastAsia="Times New Roman" w:hAnsi="Garamond" w:cs="Arial"/>
                <w:b/>
                <w:bCs/>
                <w:color w:val="000000"/>
                <w:kern w:val="36"/>
                <w:sz w:val="24"/>
                <w:szCs w:val="24"/>
              </w:rPr>
            </w:pPr>
            <w:r w:rsidRPr="001B74F4">
              <w:rPr>
                <w:rFonts w:ascii="Garamond" w:eastAsia="Times New Roman" w:hAnsi="Garamond" w:cs="Arial"/>
                <w:b/>
                <w:bCs/>
                <w:color w:val="000000"/>
                <w:kern w:val="36"/>
                <w:sz w:val="24"/>
                <w:szCs w:val="24"/>
              </w:rPr>
              <w:t>TAC Recommendation:</w:t>
            </w:r>
            <w:r w:rsidR="00681FFD">
              <w:rPr>
                <w:rFonts w:ascii="Garamond" w:eastAsia="Times New Roman" w:hAnsi="Garamond" w:cs="Arial"/>
                <w:b/>
                <w:bCs/>
                <w:color w:val="000000"/>
                <w:kern w:val="36"/>
                <w:sz w:val="24"/>
                <w:szCs w:val="24"/>
              </w:rPr>
              <w:t xml:space="preserve"> </w:t>
            </w:r>
            <w:r w:rsidR="00356AE3" w:rsidRPr="00356AE3">
              <w:rPr>
                <w:rFonts w:ascii="Garamond" w:eastAsia="Times New Roman" w:hAnsi="Garamond" w:cs="Arial"/>
                <w:b/>
                <w:bCs/>
                <w:color w:val="FF0000"/>
                <w:kern w:val="36"/>
                <w:sz w:val="24"/>
                <w:szCs w:val="24"/>
              </w:rPr>
              <w:t>Denial 10-0</w:t>
            </w:r>
            <w:r w:rsidRPr="00356AE3">
              <w:rPr>
                <w:rFonts w:ascii="Garamond" w:eastAsia="Times New Roman" w:hAnsi="Garamond" w:cs="Arial"/>
                <w:b/>
                <w:bCs/>
                <w:color w:val="000000"/>
                <w:kern w:val="36"/>
                <w:sz w:val="24"/>
                <w:szCs w:val="24"/>
              </w:rPr>
              <w:br/>
            </w:r>
            <w:r w:rsidRPr="001B74F4">
              <w:rPr>
                <w:rFonts w:ascii="Garamond" w:eastAsia="Times New Roman" w:hAnsi="Garamond" w:cs="Arial"/>
                <w:b/>
                <w:bCs/>
                <w:color w:val="000000"/>
                <w:kern w:val="36"/>
                <w:sz w:val="24"/>
                <w:szCs w:val="24"/>
              </w:rPr>
              <w:t>Commission Action:</w:t>
            </w:r>
          </w:p>
        </w:tc>
      </w:tr>
      <w:tr w:rsidR="006B0E89" w:rsidRPr="001B74F4" w14:paraId="7E424623" w14:textId="77777777" w:rsidTr="00977244">
        <w:tc>
          <w:tcPr>
            <w:tcW w:w="10770" w:type="dxa"/>
          </w:tcPr>
          <w:p w14:paraId="2BAB3CEE" w14:textId="6FE3D617" w:rsidR="006B0E89" w:rsidRPr="001B74F4" w:rsidRDefault="006B0E89" w:rsidP="006B0E89">
            <w:pPr>
              <w:rPr>
                <w:rFonts w:ascii="Garamond" w:hAnsi="Garamond"/>
                <w:b/>
                <w:bCs/>
                <w:color w:val="FF0000"/>
                <w:sz w:val="24"/>
                <w:szCs w:val="24"/>
              </w:rPr>
            </w:pPr>
            <w:r w:rsidRPr="001B74F4">
              <w:rPr>
                <w:rFonts w:ascii="Garamond" w:hAnsi="Garamond"/>
                <w:b/>
                <w:bCs/>
                <w:color w:val="FF0000"/>
                <w:sz w:val="24"/>
                <w:szCs w:val="24"/>
              </w:rPr>
              <w:t>8th Edition (2023) Florida Building Code, Existing Building</w:t>
            </w:r>
          </w:p>
          <w:p w14:paraId="634D3A6B" w14:textId="631B5896" w:rsidR="006B0E89" w:rsidRPr="001B74F4" w:rsidRDefault="006B0E89" w:rsidP="006B0E89">
            <w:pPr>
              <w:autoSpaceDE w:val="0"/>
              <w:autoSpaceDN w:val="0"/>
              <w:adjustRightInd w:val="0"/>
              <w:rPr>
                <w:rFonts w:ascii="Garamond" w:hAnsi="Garamond" w:cs="Helvetica-Bold"/>
                <w:b/>
                <w:bCs/>
                <w:sz w:val="24"/>
                <w:szCs w:val="24"/>
              </w:rPr>
            </w:pPr>
            <w:r w:rsidRPr="001B74F4">
              <w:rPr>
                <w:rFonts w:ascii="Garamond" w:hAnsi="Garamond" w:cs="Helvetica-Bold"/>
                <w:b/>
                <w:bCs/>
                <w:sz w:val="24"/>
                <w:szCs w:val="24"/>
              </w:rPr>
              <w:t>CHAPTER 5 PRESCRIPTIVE COMPLIANCE METHOD</w:t>
            </w:r>
          </w:p>
          <w:p w14:paraId="2B226536" w14:textId="03C6DCCC" w:rsidR="00AD4DD5" w:rsidRPr="001B74F4" w:rsidRDefault="00AD4DD5" w:rsidP="006B0E89">
            <w:pPr>
              <w:autoSpaceDE w:val="0"/>
              <w:autoSpaceDN w:val="0"/>
              <w:adjustRightInd w:val="0"/>
              <w:rPr>
                <w:rFonts w:ascii="Garamond" w:hAnsi="Garamond"/>
                <w:b/>
                <w:bCs/>
                <w:color w:val="FF0000"/>
                <w:sz w:val="24"/>
                <w:szCs w:val="24"/>
              </w:rPr>
            </w:pPr>
            <w:r w:rsidRPr="001B74F4">
              <w:rPr>
                <w:rFonts w:ascii="Garamond" w:hAnsi="Garamond"/>
                <w:b/>
                <w:bCs/>
                <w:color w:val="FF0000"/>
                <w:sz w:val="24"/>
                <w:szCs w:val="24"/>
                <w:highlight w:val="yellow"/>
                <w:u w:val="single"/>
              </w:rPr>
              <w:t>3) E-B Chapter 5 – Comment #1</w:t>
            </w:r>
            <w:r w:rsidR="007D50D0">
              <w:rPr>
                <w:rFonts w:ascii="Garamond" w:hAnsi="Garamond"/>
                <w:b/>
                <w:bCs/>
                <w:color w:val="FF0000"/>
                <w:sz w:val="24"/>
                <w:szCs w:val="24"/>
                <w:u w:val="single"/>
              </w:rPr>
              <w:t xml:space="preserve"> </w:t>
            </w:r>
            <w:r w:rsidR="007D50D0" w:rsidRPr="007D50D0">
              <w:rPr>
                <w:rFonts w:ascii="Garamond" w:hAnsi="Garamond"/>
                <w:b/>
                <w:bCs/>
                <w:color w:val="0070C0"/>
                <w:sz w:val="24"/>
                <w:szCs w:val="24"/>
              </w:rPr>
              <w:t>(Page 4)</w:t>
            </w:r>
          </w:p>
          <w:p w14:paraId="24C71169" w14:textId="00B242DE" w:rsidR="006B0E89" w:rsidRPr="001B74F4" w:rsidRDefault="006B0E89" w:rsidP="006B0E89">
            <w:pPr>
              <w:rPr>
                <w:rFonts w:ascii="Garamond" w:hAnsi="Garamond"/>
                <w:b/>
                <w:bCs/>
                <w:sz w:val="24"/>
                <w:szCs w:val="24"/>
              </w:rPr>
            </w:pPr>
            <w:r w:rsidRPr="001B74F4">
              <w:rPr>
                <w:rFonts w:ascii="Garamond" w:eastAsia="Times New Roman" w:hAnsi="Garamond"/>
                <w:b/>
                <w:bCs/>
                <w:sz w:val="24"/>
                <w:szCs w:val="24"/>
              </w:rPr>
              <w:t xml:space="preserve">Jennifer Hatfield - </w:t>
            </w:r>
            <w:r w:rsidRPr="001B74F4">
              <w:rPr>
                <w:rFonts w:ascii="Garamond" w:hAnsi="Garamond"/>
                <w:b/>
                <w:bCs/>
                <w:sz w:val="24"/>
                <w:szCs w:val="24"/>
              </w:rPr>
              <w:t>Fenestration &amp; Glazing Industry Alliance</w:t>
            </w:r>
          </w:p>
          <w:p w14:paraId="03F3AA43" w14:textId="1FDAFCCB" w:rsidR="006B0E89" w:rsidRPr="001B74F4" w:rsidRDefault="006B0E89" w:rsidP="006B0E89">
            <w:pPr>
              <w:rPr>
                <w:rFonts w:ascii="Garamond" w:hAnsi="Garamond"/>
                <w:b/>
                <w:sz w:val="24"/>
                <w:szCs w:val="24"/>
              </w:rPr>
            </w:pPr>
            <w:r w:rsidRPr="001B74F4">
              <w:rPr>
                <w:rFonts w:ascii="Garamond" w:hAnsi="Garamond"/>
                <w:b/>
                <w:sz w:val="24"/>
                <w:szCs w:val="24"/>
              </w:rPr>
              <w:t>Section 505.2 and 702.4</w:t>
            </w:r>
            <w:r w:rsidR="00800AF4">
              <w:rPr>
                <w:rFonts w:ascii="Garamond" w:hAnsi="Garamond"/>
                <w:b/>
                <w:sz w:val="24"/>
                <w:szCs w:val="24"/>
              </w:rPr>
              <w:t xml:space="preserve"> – Correlation </w:t>
            </w:r>
          </w:p>
          <w:p w14:paraId="35D779E6" w14:textId="77777777" w:rsidR="006B0E89" w:rsidRPr="001B74F4" w:rsidRDefault="006B0E89" w:rsidP="006B0E89">
            <w:pPr>
              <w:rPr>
                <w:rFonts w:ascii="Garamond" w:hAnsi="Garamond"/>
                <w:b/>
                <w:sz w:val="24"/>
                <w:szCs w:val="24"/>
              </w:rPr>
            </w:pPr>
            <w:bookmarkStart w:id="0" w:name="_GoBack"/>
            <w:bookmarkEnd w:id="0"/>
          </w:p>
          <w:p w14:paraId="51DF4AB8" w14:textId="06BFB48B" w:rsidR="006B0E89" w:rsidRPr="001B74F4" w:rsidRDefault="006B0E89" w:rsidP="00A25315">
            <w:pPr>
              <w:shd w:val="clear" w:color="auto" w:fill="FFFFFF"/>
              <w:spacing w:line="360" w:lineRule="auto"/>
              <w:outlineLvl w:val="0"/>
              <w:rPr>
                <w:rFonts w:ascii="Garamond" w:eastAsia="Times New Roman" w:hAnsi="Garamond" w:cs="Arial"/>
                <w:b/>
                <w:bCs/>
                <w:color w:val="000000"/>
                <w:kern w:val="36"/>
                <w:sz w:val="24"/>
                <w:szCs w:val="24"/>
              </w:rPr>
            </w:pPr>
            <w:r w:rsidRPr="001B74F4">
              <w:rPr>
                <w:rFonts w:ascii="Garamond" w:eastAsia="Times New Roman" w:hAnsi="Garamond" w:cs="Arial"/>
                <w:b/>
                <w:bCs/>
                <w:color w:val="000000"/>
                <w:kern w:val="36"/>
                <w:sz w:val="24"/>
                <w:szCs w:val="24"/>
              </w:rPr>
              <w:t>TAC Recommendation:</w:t>
            </w:r>
            <w:r w:rsidR="004F46EA">
              <w:rPr>
                <w:rFonts w:ascii="Garamond" w:eastAsia="Times New Roman" w:hAnsi="Garamond" w:cs="Arial"/>
                <w:b/>
                <w:bCs/>
                <w:color w:val="000000"/>
                <w:kern w:val="36"/>
                <w:sz w:val="24"/>
                <w:szCs w:val="24"/>
              </w:rPr>
              <w:t xml:space="preserve"> </w:t>
            </w:r>
            <w:r w:rsidR="007F7DEC" w:rsidRPr="00B434CD">
              <w:rPr>
                <w:rFonts w:ascii="Garamond" w:eastAsia="Times New Roman" w:hAnsi="Garamond" w:cs="Arial"/>
                <w:b/>
                <w:bCs/>
                <w:color w:val="00B050"/>
                <w:kern w:val="36"/>
                <w:sz w:val="24"/>
                <w:szCs w:val="24"/>
              </w:rPr>
              <w:t>Approval 10 - 0</w:t>
            </w:r>
            <w:r w:rsidRPr="001B74F4">
              <w:rPr>
                <w:rFonts w:ascii="Garamond" w:eastAsia="Times New Roman" w:hAnsi="Garamond" w:cs="Arial"/>
                <w:bCs/>
                <w:color w:val="000000"/>
                <w:kern w:val="36"/>
                <w:sz w:val="24"/>
                <w:szCs w:val="24"/>
                <w:u w:val="single"/>
              </w:rPr>
              <w:br/>
            </w:r>
            <w:r w:rsidRPr="001B74F4">
              <w:rPr>
                <w:rFonts w:ascii="Garamond" w:eastAsia="Times New Roman" w:hAnsi="Garamond" w:cs="Arial"/>
                <w:b/>
                <w:bCs/>
                <w:color w:val="000000"/>
                <w:kern w:val="36"/>
                <w:sz w:val="24"/>
                <w:szCs w:val="24"/>
              </w:rPr>
              <w:t>Commission Action:</w:t>
            </w:r>
          </w:p>
        </w:tc>
      </w:tr>
    </w:tbl>
    <w:p w14:paraId="4F171013" w14:textId="77777777" w:rsidR="005B0920" w:rsidRPr="001B74F4" w:rsidRDefault="005B0920" w:rsidP="00BF574C">
      <w:pPr>
        <w:rPr>
          <w:rFonts w:ascii="Garamond" w:hAnsi="Garamond"/>
          <w:b/>
        </w:rPr>
      </w:pPr>
    </w:p>
    <w:p w14:paraId="5412063F" w14:textId="77777777" w:rsidR="005B0920" w:rsidRPr="001B74F4" w:rsidRDefault="005B0920" w:rsidP="00BF574C">
      <w:pPr>
        <w:rPr>
          <w:rFonts w:ascii="Garamond" w:hAnsi="Garamond"/>
          <w:b/>
        </w:rPr>
      </w:pPr>
    </w:p>
    <w:p w14:paraId="0D6A76E2" w14:textId="77777777" w:rsidR="005B0920" w:rsidRPr="001B74F4" w:rsidRDefault="005B0920" w:rsidP="00BF574C">
      <w:pPr>
        <w:rPr>
          <w:rFonts w:ascii="Garamond" w:hAnsi="Garamond"/>
          <w:b/>
        </w:rPr>
      </w:pPr>
    </w:p>
    <w:p w14:paraId="3988BB58" w14:textId="5286835D" w:rsidR="00BF574C" w:rsidRPr="001B74F4" w:rsidRDefault="007703ED" w:rsidP="00BF574C">
      <w:pPr>
        <w:rPr>
          <w:rFonts w:ascii="Garamond" w:hAnsi="Garamond"/>
          <w:b/>
        </w:rPr>
      </w:pPr>
      <w:r w:rsidRPr="001B74F4">
        <w:rPr>
          <w:rFonts w:ascii="Garamond" w:hAnsi="Garamond"/>
          <w:b/>
        </w:rPr>
        <w:t xml:space="preserve">Fire Technical Advisory Committee </w:t>
      </w:r>
      <w:r w:rsidR="00AE2A2D" w:rsidRPr="001B74F4">
        <w:rPr>
          <w:rFonts w:ascii="Garamond" w:hAnsi="Garamond"/>
          <w:b/>
        </w:rPr>
        <w:t xml:space="preserve">(TAC) </w:t>
      </w:r>
      <w:r w:rsidRPr="001B74F4">
        <w:rPr>
          <w:rFonts w:ascii="Garamond" w:hAnsi="Garamond"/>
          <w:b/>
        </w:rPr>
        <w:t xml:space="preserve">– Comments </w:t>
      </w:r>
    </w:p>
    <w:p w14:paraId="4D87DE95" w14:textId="77777777" w:rsidR="00BF574C" w:rsidRPr="001B74F4" w:rsidRDefault="00BF574C" w:rsidP="00BF574C">
      <w:pPr>
        <w:rPr>
          <w:rFonts w:ascii="Garamond" w:hAnsi="Garamond"/>
        </w:rPr>
      </w:pPr>
    </w:p>
    <w:p w14:paraId="7072DC22" w14:textId="77777777" w:rsidR="00C33CBA" w:rsidRPr="001B74F4" w:rsidRDefault="00AE2A2D" w:rsidP="00C33CBA">
      <w:pPr>
        <w:rPr>
          <w:rFonts w:ascii="Garamond" w:hAnsi="Garamond"/>
          <w:b/>
          <w:bCs/>
          <w:color w:val="FF0000"/>
          <w:szCs w:val="22"/>
        </w:rPr>
      </w:pPr>
      <w:r w:rsidRPr="001B74F4">
        <w:rPr>
          <w:rFonts w:ascii="Garamond" w:hAnsi="Garamond"/>
          <w:b/>
          <w:bCs/>
          <w:color w:val="FF0000"/>
          <w:szCs w:val="22"/>
        </w:rPr>
        <w:t>8th Edition (2023</w:t>
      </w:r>
      <w:r w:rsidR="00C33CBA" w:rsidRPr="001B74F4">
        <w:rPr>
          <w:rFonts w:ascii="Garamond" w:hAnsi="Garamond"/>
          <w:b/>
          <w:bCs/>
          <w:color w:val="FF0000"/>
          <w:szCs w:val="22"/>
        </w:rPr>
        <w:t>) Florida Building Code, Building</w:t>
      </w:r>
    </w:p>
    <w:p w14:paraId="0173F4AC" w14:textId="77777777" w:rsidR="00C33CBA" w:rsidRPr="001B74F4" w:rsidRDefault="00C33CBA" w:rsidP="00C33CBA">
      <w:pPr>
        <w:rPr>
          <w:rFonts w:ascii="Garamond" w:hAnsi="Garamond"/>
          <w:b/>
          <w:bCs/>
          <w:color w:val="FF0000"/>
          <w:szCs w:val="22"/>
        </w:rPr>
      </w:pPr>
    </w:p>
    <w:p w14:paraId="587E28C0" w14:textId="77777777" w:rsidR="00C84F6C" w:rsidRPr="001B74F4" w:rsidRDefault="00D84BCC" w:rsidP="00C84F6C">
      <w:pPr>
        <w:autoSpaceDE w:val="0"/>
        <w:autoSpaceDN w:val="0"/>
        <w:adjustRightInd w:val="0"/>
        <w:rPr>
          <w:rFonts w:ascii="Garamond" w:hAnsi="Garamond" w:cs="Arial"/>
          <w:b/>
          <w:bCs/>
          <w:sz w:val="24"/>
          <w:szCs w:val="24"/>
        </w:rPr>
      </w:pPr>
      <w:r w:rsidRPr="001B74F4">
        <w:rPr>
          <w:rFonts w:ascii="Garamond" w:hAnsi="Garamond" w:cs="Arial"/>
          <w:b/>
          <w:bCs/>
          <w:sz w:val="24"/>
          <w:szCs w:val="24"/>
        </w:rPr>
        <w:t xml:space="preserve">CHAPTER 10 </w:t>
      </w:r>
      <w:r w:rsidRPr="001B74F4">
        <w:rPr>
          <w:rFonts w:ascii="Garamond" w:hAnsi="Garamond" w:cs="Helvetica-Bold"/>
          <w:b/>
          <w:bCs/>
          <w:sz w:val="24"/>
          <w:szCs w:val="24"/>
        </w:rPr>
        <w:t>MEANS OF EGRESS</w:t>
      </w:r>
    </w:p>
    <w:p w14:paraId="7AEE256A" w14:textId="77777777" w:rsidR="00C84F6C" w:rsidRPr="001B74F4" w:rsidRDefault="00C84F6C" w:rsidP="00C84F6C">
      <w:pPr>
        <w:autoSpaceDE w:val="0"/>
        <w:autoSpaceDN w:val="0"/>
        <w:adjustRightInd w:val="0"/>
        <w:rPr>
          <w:rFonts w:ascii="Garamond" w:hAnsi="Garamond" w:cs="Arial"/>
          <w:b/>
          <w:bCs/>
          <w:sz w:val="32"/>
          <w:szCs w:val="32"/>
        </w:rPr>
      </w:pPr>
    </w:p>
    <w:p w14:paraId="1D1E4CBF" w14:textId="77777777" w:rsidR="00C84F6C" w:rsidRPr="001B74F4" w:rsidRDefault="00D84BCC" w:rsidP="00C84F6C">
      <w:pPr>
        <w:rPr>
          <w:rFonts w:ascii="Garamond" w:hAnsi="Garamond"/>
          <w:b/>
          <w:bCs/>
          <w:color w:val="FF0000"/>
          <w:szCs w:val="22"/>
          <w:u w:val="single"/>
        </w:rPr>
      </w:pPr>
      <w:r w:rsidRPr="001B74F4">
        <w:rPr>
          <w:rFonts w:ascii="Garamond" w:hAnsi="Garamond"/>
          <w:b/>
          <w:bCs/>
          <w:color w:val="FF0000"/>
          <w:szCs w:val="22"/>
          <w:highlight w:val="yellow"/>
          <w:u w:val="single"/>
        </w:rPr>
        <w:t>F-B-Ch.10</w:t>
      </w:r>
      <w:r w:rsidR="00C84F6C" w:rsidRPr="001B74F4">
        <w:rPr>
          <w:rFonts w:ascii="Garamond" w:hAnsi="Garamond"/>
          <w:b/>
          <w:bCs/>
          <w:color w:val="FF0000"/>
          <w:szCs w:val="22"/>
          <w:highlight w:val="yellow"/>
          <w:u w:val="single"/>
        </w:rPr>
        <w:t xml:space="preserve"> – Comment #1</w:t>
      </w:r>
      <w:r w:rsidR="00741F65" w:rsidRPr="001B74F4">
        <w:rPr>
          <w:rFonts w:ascii="Garamond" w:hAnsi="Garamond"/>
          <w:b/>
          <w:bCs/>
          <w:color w:val="FF0000"/>
          <w:szCs w:val="22"/>
          <w:highlight w:val="yellow"/>
          <w:u w:val="single"/>
        </w:rPr>
        <w:t xml:space="preserve"> </w:t>
      </w:r>
      <w:r w:rsidR="00741F65" w:rsidRPr="001B74F4">
        <w:rPr>
          <w:rFonts w:ascii="Garamond" w:hAnsi="Garamond"/>
          <w:b/>
          <w:bCs/>
          <w:color w:val="0070C0"/>
          <w:szCs w:val="22"/>
          <w:highlight w:val="yellow"/>
          <w:u w:val="single"/>
        </w:rPr>
        <w:t>[New Subject]</w:t>
      </w:r>
    </w:p>
    <w:p w14:paraId="2E72EAF8" w14:textId="77777777" w:rsidR="00C84F6C" w:rsidRPr="001B74F4" w:rsidRDefault="00C84F6C" w:rsidP="00C84F6C">
      <w:pPr>
        <w:rPr>
          <w:rFonts w:ascii="Garamond" w:hAnsi="Garamond"/>
          <w:b/>
          <w:bCs/>
          <w:color w:val="000000"/>
          <w:sz w:val="24"/>
          <w:szCs w:val="24"/>
        </w:rPr>
      </w:pPr>
    </w:p>
    <w:p w14:paraId="09ACECB0" w14:textId="77777777" w:rsidR="00D84BCC" w:rsidRPr="001B74F4" w:rsidRDefault="00D84BCC" w:rsidP="00D84BCC">
      <w:pPr>
        <w:rPr>
          <w:rFonts w:ascii="Garamond" w:hAnsi="Garamond"/>
          <w:sz w:val="24"/>
          <w:szCs w:val="24"/>
        </w:rPr>
      </w:pPr>
      <w:r w:rsidRPr="001B74F4">
        <w:rPr>
          <w:rFonts w:ascii="Garamond" w:hAnsi="Garamond"/>
          <w:sz w:val="24"/>
          <w:szCs w:val="24"/>
        </w:rPr>
        <w:t>By: John Barrios, CBO, Hillsborough County</w:t>
      </w:r>
    </w:p>
    <w:p w14:paraId="4A00BF14" w14:textId="77777777" w:rsidR="00D84BCC" w:rsidRPr="001B74F4" w:rsidRDefault="00D84BCC" w:rsidP="00D84BCC">
      <w:pPr>
        <w:rPr>
          <w:rFonts w:ascii="Garamond" w:hAnsi="Garamond"/>
          <w:sz w:val="24"/>
          <w:szCs w:val="24"/>
        </w:rPr>
      </w:pPr>
    </w:p>
    <w:p w14:paraId="19AF4360"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Revise Section 1015.8 of the FBC-B as follows: </w:t>
      </w:r>
    </w:p>
    <w:p w14:paraId="73B87CEF" w14:textId="77777777" w:rsidR="00D84BCC" w:rsidRPr="001B74F4" w:rsidRDefault="00D84BCC" w:rsidP="00D84BCC">
      <w:pPr>
        <w:rPr>
          <w:rFonts w:ascii="Garamond" w:hAnsi="Garamond"/>
          <w:sz w:val="24"/>
          <w:szCs w:val="24"/>
        </w:rPr>
      </w:pPr>
    </w:p>
    <w:p w14:paraId="079DCC79"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Bold"/>
          <w:b/>
          <w:bCs/>
          <w:sz w:val="24"/>
          <w:szCs w:val="24"/>
        </w:rPr>
        <w:t xml:space="preserve">1015.8 Window openings. </w:t>
      </w:r>
      <w:r w:rsidRPr="001B74F4">
        <w:rPr>
          <w:rFonts w:ascii="Garamond" w:hAnsi="Garamond" w:cs="TimesNewRoman"/>
          <w:sz w:val="24"/>
          <w:szCs w:val="24"/>
        </w:rPr>
        <w:t xml:space="preserve">Windows in Group R-2 and R-3 buildings including </w:t>
      </w:r>
      <w:r w:rsidRPr="001B74F4">
        <w:rPr>
          <w:rFonts w:ascii="Garamond" w:hAnsi="Garamond" w:cs="TimesNewRoman,Italic"/>
          <w:i/>
          <w:iCs/>
          <w:sz w:val="24"/>
          <w:szCs w:val="24"/>
        </w:rPr>
        <w:t>dwelling units</w:t>
      </w:r>
      <w:r w:rsidRPr="001B74F4">
        <w:rPr>
          <w:rFonts w:ascii="Garamond" w:hAnsi="Garamond" w:cs="TimesNewRoman"/>
          <w:sz w:val="24"/>
          <w:szCs w:val="24"/>
        </w:rPr>
        <w:t xml:space="preserve">, where the top of the sill of an operable window opening is located less than </w:t>
      </w:r>
      <w:r w:rsidRPr="001B74F4">
        <w:rPr>
          <w:rFonts w:ascii="Garamond" w:hAnsi="Garamond" w:cs="TimesNewRoman"/>
          <w:strike/>
          <w:sz w:val="24"/>
          <w:szCs w:val="24"/>
        </w:rPr>
        <w:t>24</w:t>
      </w:r>
      <w:r w:rsidRPr="001B74F4">
        <w:rPr>
          <w:rFonts w:ascii="Garamond" w:hAnsi="Garamond" w:cs="TimesNewRoman"/>
          <w:sz w:val="24"/>
          <w:szCs w:val="24"/>
        </w:rPr>
        <w:t xml:space="preserve"> </w:t>
      </w:r>
      <w:r w:rsidRPr="001B74F4">
        <w:rPr>
          <w:rFonts w:ascii="Garamond" w:hAnsi="Garamond" w:cs="TimesNewRoman"/>
          <w:sz w:val="24"/>
          <w:szCs w:val="24"/>
          <w:u w:val="single"/>
        </w:rPr>
        <w:t xml:space="preserve">36 </w:t>
      </w:r>
      <w:r w:rsidRPr="001B74F4">
        <w:rPr>
          <w:rFonts w:ascii="Garamond" w:hAnsi="Garamond" w:cs="TimesNewRoman"/>
          <w:sz w:val="24"/>
          <w:szCs w:val="24"/>
        </w:rPr>
        <w:t>inches above the finished floor and more than 72 inches (1829 mm) above the finished grade or other surface below on the exterior of the building, shall comply with one of the following:</w:t>
      </w:r>
    </w:p>
    <w:p w14:paraId="4BB9E3F2" w14:textId="77777777" w:rsidR="00D84BCC" w:rsidRPr="001B74F4" w:rsidRDefault="00D84BCC" w:rsidP="00D84BCC">
      <w:pPr>
        <w:autoSpaceDE w:val="0"/>
        <w:autoSpaceDN w:val="0"/>
        <w:adjustRightInd w:val="0"/>
        <w:rPr>
          <w:rFonts w:ascii="Garamond" w:hAnsi="Garamond" w:cs="TimesNewRoman"/>
          <w:sz w:val="24"/>
          <w:szCs w:val="24"/>
        </w:rPr>
      </w:pPr>
    </w:p>
    <w:p w14:paraId="356A9847"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lastRenderedPageBreak/>
        <w:t>1. Operable windows where the top of the sill of the opening is located more than 75 feet (22 860 mm) above the finished grade or other surface below and that are provided with window fall prevention devices that comply with ASTM F2006.</w:t>
      </w:r>
    </w:p>
    <w:p w14:paraId="55609BB5"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2. Operable windows where the openings will not allow a 4-inch-diameter (102 mm) sphere to pass through the opening when the window is in its largest opened position.</w:t>
      </w:r>
    </w:p>
    <w:p w14:paraId="76424644"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3. Operable windows where the openings are provided with window fall prevention devices that comply with ASTM F2090.</w:t>
      </w:r>
    </w:p>
    <w:p w14:paraId="678EA4E6"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4. Operable windows that are provided with window opening control devices that comply with Section 1015.8.1.</w:t>
      </w:r>
    </w:p>
    <w:p w14:paraId="6658F1AE" w14:textId="77777777" w:rsidR="00D84BCC" w:rsidRPr="001B74F4" w:rsidRDefault="00D84BCC" w:rsidP="00D84BCC">
      <w:pPr>
        <w:autoSpaceDE w:val="0"/>
        <w:autoSpaceDN w:val="0"/>
        <w:adjustRightInd w:val="0"/>
        <w:rPr>
          <w:rFonts w:ascii="Garamond" w:hAnsi="Garamond" w:cs="TimesNewRoman"/>
          <w:sz w:val="24"/>
          <w:szCs w:val="24"/>
        </w:rPr>
      </w:pPr>
    </w:p>
    <w:p w14:paraId="7D3C9027"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 xml:space="preserve">Reason: </w:t>
      </w:r>
    </w:p>
    <w:p w14:paraId="1773103F" w14:textId="77777777" w:rsidR="00D84BCC" w:rsidRPr="001B74F4" w:rsidRDefault="00D84BCC" w:rsidP="00D84BCC">
      <w:pPr>
        <w:autoSpaceDE w:val="0"/>
        <w:autoSpaceDN w:val="0"/>
        <w:adjustRightInd w:val="0"/>
        <w:rPr>
          <w:rFonts w:ascii="Garamond" w:hAnsi="Garamond" w:cs="TimesNewRoman"/>
          <w:sz w:val="24"/>
          <w:szCs w:val="24"/>
        </w:rPr>
      </w:pPr>
    </w:p>
    <w:p w14:paraId="3442FFE7"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In the current edition of the IBC and previous editions of the FBC-Building volume, section 1015.8 required fall protection for windows with a sill height of </w:t>
      </w:r>
      <w:r w:rsidRPr="001B74F4">
        <w:rPr>
          <w:rFonts w:ascii="Garamond" w:hAnsi="Garamond"/>
          <w:b/>
          <w:bCs/>
          <w:sz w:val="24"/>
          <w:szCs w:val="24"/>
        </w:rPr>
        <w:t>36”</w:t>
      </w:r>
      <w:r w:rsidRPr="001B74F4">
        <w:rPr>
          <w:rFonts w:ascii="Garamond" w:hAnsi="Garamond"/>
          <w:sz w:val="24"/>
          <w:szCs w:val="24"/>
        </w:rPr>
        <w:t xml:space="preserve"> or below in R-2 occupancies when the window is located more than 72” above the ground or other surface on the outside. This was presumably to prevent small children from falling out of windows. FBC-EB (Existing Buildings), section 505.2 stipulated the same. </w:t>
      </w:r>
    </w:p>
    <w:p w14:paraId="0960118B" w14:textId="77777777" w:rsidR="00D84BCC" w:rsidRPr="001B74F4" w:rsidRDefault="00D84BCC" w:rsidP="00D84BCC">
      <w:pPr>
        <w:rPr>
          <w:rFonts w:ascii="Garamond" w:hAnsi="Garamond"/>
          <w:sz w:val="24"/>
          <w:szCs w:val="24"/>
        </w:rPr>
      </w:pPr>
    </w:p>
    <w:p w14:paraId="458DC60E" w14:textId="77777777" w:rsidR="00D84BCC" w:rsidRPr="001B74F4" w:rsidRDefault="00D84BCC" w:rsidP="00D84BCC">
      <w:pPr>
        <w:rPr>
          <w:rFonts w:ascii="Garamond" w:hAnsi="Garamond"/>
          <w:sz w:val="24"/>
          <w:szCs w:val="24"/>
        </w:rPr>
      </w:pPr>
      <w:r w:rsidRPr="001B74F4">
        <w:rPr>
          <w:rFonts w:ascii="Garamond" w:hAnsi="Garamond"/>
          <w:sz w:val="24"/>
          <w:szCs w:val="24"/>
        </w:rPr>
        <w:t>In the current 7</w:t>
      </w:r>
      <w:r w:rsidRPr="001B74F4">
        <w:rPr>
          <w:rFonts w:ascii="Garamond" w:hAnsi="Garamond"/>
          <w:sz w:val="24"/>
          <w:szCs w:val="24"/>
          <w:vertAlign w:val="superscript"/>
        </w:rPr>
        <w:t>th</w:t>
      </w:r>
      <w:r w:rsidRPr="001B74F4">
        <w:rPr>
          <w:rFonts w:ascii="Garamond" w:hAnsi="Garamond"/>
          <w:sz w:val="24"/>
          <w:szCs w:val="24"/>
        </w:rPr>
        <w:t xml:space="preserve"> edition of the FBC-B, section 1015.8 was amended by Code Mod F7213 to change to a sill height of </w:t>
      </w:r>
      <w:r w:rsidRPr="001B74F4">
        <w:rPr>
          <w:rFonts w:ascii="Garamond" w:hAnsi="Garamond"/>
          <w:b/>
          <w:bCs/>
          <w:sz w:val="24"/>
          <w:szCs w:val="24"/>
        </w:rPr>
        <w:t>24”</w:t>
      </w:r>
      <w:r w:rsidRPr="001B74F4">
        <w:rPr>
          <w:rFonts w:ascii="Garamond" w:hAnsi="Garamond"/>
          <w:sz w:val="24"/>
          <w:szCs w:val="24"/>
        </w:rPr>
        <w:t xml:space="preserve"> or below for R-2 occupancies but there was no corresponding change to the same provision in the FBC-EB section 505.2 for existing apartment buildings. The net result is a situation where a brand new apartment building that is completed today that has windows with a sill height below 36” would automatically be in violation of the FBC-EB regarding fall protection. We don’t believe this was the intent of the Florida Building Commission.</w:t>
      </w:r>
    </w:p>
    <w:p w14:paraId="6AF3E8A4" w14:textId="77777777" w:rsidR="00D84BCC" w:rsidRPr="001B74F4" w:rsidRDefault="00D84BCC" w:rsidP="00D84BCC">
      <w:pPr>
        <w:rPr>
          <w:rFonts w:ascii="Garamond" w:hAnsi="Garamond"/>
          <w:sz w:val="24"/>
          <w:szCs w:val="24"/>
        </w:rPr>
      </w:pPr>
    </w:p>
    <w:p w14:paraId="2A30C873"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We checked the last few editions of the IBC and IEBC codes, and the fall protection provisions in both codes are consistent…. fall protection is required when the window sill height is 36” or below in new and existing R-2 occupancies. The following is an excerpt from the IBC Code Commentary for section 1015.8: </w:t>
      </w:r>
    </w:p>
    <w:p w14:paraId="2C86BAC5" w14:textId="77777777" w:rsidR="00D84BCC" w:rsidRPr="001B74F4" w:rsidRDefault="00D84BCC" w:rsidP="00D84BCC">
      <w:pPr>
        <w:rPr>
          <w:rFonts w:ascii="Garamond" w:hAnsi="Garamond"/>
          <w:sz w:val="24"/>
          <w:szCs w:val="24"/>
        </w:rPr>
      </w:pPr>
    </w:p>
    <w:p w14:paraId="47B7ECFC"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The window limitations specified here are intended for Group R-2 and R-3 units. These facilities have the highest potential for infants and toddlers being present for an extended period of time. The requirement is intended to provide a level of protection to children and to help limit the chances of them falling through window openings. In most cases, these provisions are not applicable to first-floor windows. Typically, the 72 inches (1829 mm) to finished grade would make these provisions applicable for windows starting at the second floor. For windows in bedrooms that may also be required to serve as emergency escape and rescue openings, see Section 1030.</w:t>
      </w:r>
    </w:p>
    <w:p w14:paraId="760B5C15" w14:textId="77777777" w:rsidR="00D84BCC" w:rsidRPr="001B74F4" w:rsidRDefault="00D84BCC" w:rsidP="00D84BCC">
      <w:pPr>
        <w:rPr>
          <w:rFonts w:ascii="Garamond" w:hAnsi="Garamond"/>
          <w:i/>
          <w:iCs/>
          <w:sz w:val="24"/>
          <w:szCs w:val="24"/>
        </w:rPr>
      </w:pPr>
    </w:p>
    <w:p w14:paraId="2CD877FC"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There are basically five options offered:</w:t>
      </w:r>
    </w:p>
    <w:p w14:paraId="077FB6D2"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One option is to locate the window so that any opening is at least 36 inches (915 mm) above the</w:t>
      </w:r>
    </w:p>
    <w:p w14:paraId="49955993"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floor. By raising the lowest operable portion of a window to 36 inches (915 mm) or more, the sill height is above the center of gravity of smaller children. The National Ornamental &amp; Miscellaneous Metals Association (NOMMA) commissioned a paper on child safety related to falls. The report indicates that the standing center of gravity of children aged 2 to 3.5 years is 24.1 inches (612 mm) [50th percentile is 22.2 inches (564 mm)] and of children aged 3.5 to 4.5</w:t>
      </w:r>
    </w:p>
    <w:p w14:paraId="019A3A97"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 xml:space="preserve">years is 25.2 inches (640 mm) [50th percentile is 23.6 inches (599 mm)]. </w:t>
      </w:r>
      <w:r w:rsidRPr="001B74F4">
        <w:rPr>
          <w:rFonts w:ascii="Garamond" w:hAnsi="Garamond"/>
          <w:b/>
          <w:bCs/>
          <w:i/>
          <w:iCs/>
          <w:sz w:val="24"/>
          <w:szCs w:val="24"/>
        </w:rPr>
        <w:t>The 36-inch (915 mm) sill height was chosen to reduce the ability of a child to climb onto the sill, enabling the fall through the opening.</w:t>
      </w:r>
      <w:r w:rsidRPr="001B74F4">
        <w:rPr>
          <w:rFonts w:ascii="Garamond" w:hAnsi="Garamond"/>
          <w:i/>
          <w:iCs/>
          <w:sz w:val="24"/>
          <w:szCs w:val="24"/>
        </w:rPr>
        <w:t xml:space="preserve"> Windows that are also to serve as emergency escape windows must also comply with Section 10309.3 sill height requirements for 44 inches (1118 mm) maximum.</w:t>
      </w:r>
    </w:p>
    <w:p w14:paraId="14C672B3"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Note that Section R312.2 of the IRC requires a minimum sill height of 24 inches (610 mm).</w:t>
      </w:r>
    </w:p>
    <w:p w14:paraId="1C2AE737" w14:textId="77777777" w:rsidR="00D84BCC" w:rsidRPr="001B74F4" w:rsidRDefault="00D84BCC" w:rsidP="00D84BCC">
      <w:pPr>
        <w:rPr>
          <w:rFonts w:ascii="Garamond" w:hAnsi="Garamond"/>
          <w:i/>
          <w:iCs/>
          <w:sz w:val="24"/>
          <w:szCs w:val="24"/>
        </w:rPr>
      </w:pPr>
    </w:p>
    <w:p w14:paraId="34F4F213"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The balance of the code commentary explains the 4 other options for providing window fall protection, which is not germane to this issue. In summary, we don’t believe it was the intent to create an internal conflict between the FBC -B and FBC-EB volumes of the Code and by restoring the 36” height above the finish floor criteria, the entire FBC will be in sync within itself and the IBC. </w:t>
      </w:r>
    </w:p>
    <w:p w14:paraId="33F790DE"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3B7D5B32"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7BAA612D"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525EE66B" w14:textId="77777777" w:rsidR="00D84BCC" w:rsidRPr="001B74F4" w:rsidRDefault="00D84BCC" w:rsidP="00D84BCC">
      <w:pPr>
        <w:rPr>
          <w:rFonts w:ascii="Garamond" w:hAnsi="Garamond"/>
          <w:b/>
          <w:bCs/>
          <w:color w:val="FF0000"/>
          <w:szCs w:val="22"/>
        </w:rPr>
      </w:pPr>
      <w:r w:rsidRPr="001B74F4">
        <w:rPr>
          <w:rFonts w:ascii="Garamond" w:hAnsi="Garamond"/>
          <w:b/>
          <w:bCs/>
          <w:color w:val="FF0000"/>
          <w:szCs w:val="22"/>
        </w:rPr>
        <w:lastRenderedPageBreak/>
        <w:t xml:space="preserve">8th Edition (2023) Florida Building Code, Residential </w:t>
      </w:r>
    </w:p>
    <w:p w14:paraId="1DBA8671"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17C4624A" w14:textId="77777777" w:rsidR="00C84F6C" w:rsidRPr="001B74F4" w:rsidRDefault="00C12440" w:rsidP="00C12440">
      <w:pPr>
        <w:autoSpaceDE w:val="0"/>
        <w:autoSpaceDN w:val="0"/>
        <w:adjustRightInd w:val="0"/>
        <w:rPr>
          <w:rFonts w:ascii="Garamond" w:eastAsia="Times New Roman" w:hAnsi="Garamond" w:cs="Arial"/>
          <w:b/>
          <w:bCs/>
          <w:color w:val="000000"/>
          <w:kern w:val="36"/>
          <w:sz w:val="24"/>
          <w:szCs w:val="24"/>
        </w:rPr>
      </w:pPr>
      <w:r w:rsidRPr="001B74F4">
        <w:rPr>
          <w:rFonts w:ascii="Garamond" w:hAnsi="Garamond" w:cs="Helvetica-Bold"/>
          <w:b/>
          <w:bCs/>
          <w:sz w:val="24"/>
          <w:szCs w:val="24"/>
        </w:rPr>
        <w:t>CHAPTER 2 DEFINITIONS</w:t>
      </w:r>
    </w:p>
    <w:p w14:paraId="3D5479F5" w14:textId="77777777" w:rsidR="00C84F6C" w:rsidRPr="001B74F4" w:rsidRDefault="00C84F6C" w:rsidP="00C84F6C">
      <w:pPr>
        <w:autoSpaceDE w:val="0"/>
        <w:autoSpaceDN w:val="0"/>
        <w:adjustRightInd w:val="0"/>
        <w:rPr>
          <w:rFonts w:ascii="Garamond" w:hAnsi="Garamond" w:cs="Arial"/>
          <w:b/>
          <w:bCs/>
          <w:sz w:val="24"/>
          <w:szCs w:val="24"/>
        </w:rPr>
      </w:pPr>
    </w:p>
    <w:p w14:paraId="6CD7864A" w14:textId="77777777" w:rsidR="00C84F6C" w:rsidRPr="001B74F4" w:rsidRDefault="00C12440" w:rsidP="00C84F6C">
      <w:pPr>
        <w:rPr>
          <w:rFonts w:ascii="Garamond" w:hAnsi="Garamond"/>
          <w:b/>
          <w:bCs/>
          <w:color w:val="FF0000"/>
          <w:szCs w:val="22"/>
          <w:u w:val="single"/>
        </w:rPr>
      </w:pPr>
      <w:r w:rsidRPr="001B74F4">
        <w:rPr>
          <w:rFonts w:ascii="Garamond" w:hAnsi="Garamond"/>
          <w:b/>
          <w:bCs/>
          <w:color w:val="FF0000"/>
          <w:szCs w:val="22"/>
          <w:highlight w:val="yellow"/>
          <w:u w:val="single"/>
        </w:rPr>
        <w:t>F-R-Ch.2</w:t>
      </w:r>
      <w:r w:rsidR="00C84F6C" w:rsidRPr="001B74F4">
        <w:rPr>
          <w:rFonts w:ascii="Garamond" w:hAnsi="Garamond"/>
          <w:b/>
          <w:bCs/>
          <w:color w:val="FF0000"/>
          <w:szCs w:val="22"/>
          <w:highlight w:val="yellow"/>
          <w:u w:val="single"/>
        </w:rPr>
        <w:t xml:space="preserve"> – Comment #1</w:t>
      </w:r>
      <w:r w:rsidR="00741F65" w:rsidRPr="001B74F4">
        <w:rPr>
          <w:rFonts w:ascii="Garamond" w:hAnsi="Garamond"/>
          <w:b/>
          <w:bCs/>
          <w:color w:val="FF0000"/>
          <w:szCs w:val="22"/>
          <w:highlight w:val="yellow"/>
          <w:u w:val="single"/>
        </w:rPr>
        <w:t xml:space="preserve"> </w:t>
      </w:r>
      <w:r w:rsidR="00741F65" w:rsidRPr="001B74F4">
        <w:rPr>
          <w:rFonts w:ascii="Garamond" w:hAnsi="Garamond"/>
          <w:b/>
          <w:bCs/>
          <w:color w:val="0070C0"/>
          <w:szCs w:val="22"/>
          <w:highlight w:val="yellow"/>
          <w:u w:val="single"/>
        </w:rPr>
        <w:t>[New Subject]</w:t>
      </w:r>
    </w:p>
    <w:p w14:paraId="2347C05E" w14:textId="77777777" w:rsidR="00C84F6C" w:rsidRPr="001B74F4" w:rsidRDefault="00C84F6C" w:rsidP="00C84F6C">
      <w:pPr>
        <w:rPr>
          <w:rFonts w:ascii="Garamond" w:hAnsi="Garamond"/>
          <w:b/>
          <w:bCs/>
          <w:color w:val="000000"/>
          <w:sz w:val="24"/>
          <w:szCs w:val="24"/>
        </w:rPr>
      </w:pPr>
    </w:p>
    <w:p w14:paraId="12AB96D1" w14:textId="77777777" w:rsidR="00C12440" w:rsidRPr="001B74F4" w:rsidRDefault="00C12440" w:rsidP="00C12440">
      <w:pPr>
        <w:rPr>
          <w:rFonts w:ascii="Garamond" w:hAnsi="Garamond"/>
          <w:sz w:val="24"/>
          <w:szCs w:val="24"/>
        </w:rPr>
      </w:pPr>
      <w:r w:rsidRPr="001B74F4">
        <w:rPr>
          <w:rFonts w:ascii="Garamond" w:hAnsi="Garamond"/>
          <w:sz w:val="24"/>
          <w:szCs w:val="24"/>
        </w:rPr>
        <w:t>By: John Barrios, CBO, Hillsborough County</w:t>
      </w:r>
    </w:p>
    <w:p w14:paraId="5BC57A09" w14:textId="77777777" w:rsidR="00C12440" w:rsidRPr="001B74F4" w:rsidRDefault="00C12440" w:rsidP="00C12440">
      <w:pPr>
        <w:rPr>
          <w:rFonts w:ascii="Garamond" w:hAnsi="Garamond"/>
          <w:sz w:val="24"/>
          <w:szCs w:val="24"/>
        </w:rPr>
      </w:pPr>
    </w:p>
    <w:p w14:paraId="41E78841" w14:textId="77777777" w:rsidR="00C12440" w:rsidRPr="001B74F4" w:rsidRDefault="00C12440" w:rsidP="00C12440">
      <w:pPr>
        <w:autoSpaceDE w:val="0"/>
        <w:autoSpaceDN w:val="0"/>
        <w:adjustRightInd w:val="0"/>
        <w:rPr>
          <w:rFonts w:ascii="Garamond" w:hAnsi="Garamond" w:cs="TimesNewRoman,Bold"/>
          <w:b/>
          <w:bCs/>
          <w:sz w:val="24"/>
          <w:szCs w:val="24"/>
        </w:rPr>
      </w:pPr>
      <w:bookmarkStart w:id="1" w:name="_Hlk124331422"/>
      <w:r w:rsidRPr="001B74F4">
        <w:rPr>
          <w:rFonts w:ascii="Garamond" w:hAnsi="Garamond"/>
          <w:sz w:val="24"/>
          <w:szCs w:val="24"/>
        </w:rPr>
        <w:t>Revise Definition in the FBC-R 202 as follows</w:t>
      </w:r>
    </w:p>
    <w:p w14:paraId="6A630F69" w14:textId="77777777" w:rsidR="00C12440" w:rsidRPr="001B74F4" w:rsidRDefault="00C12440" w:rsidP="00C12440">
      <w:pPr>
        <w:autoSpaceDE w:val="0"/>
        <w:autoSpaceDN w:val="0"/>
        <w:adjustRightInd w:val="0"/>
        <w:rPr>
          <w:rFonts w:ascii="Garamond" w:hAnsi="Garamond" w:cs="TimesNewRoman,Bold"/>
          <w:b/>
          <w:bCs/>
          <w:sz w:val="24"/>
          <w:szCs w:val="24"/>
        </w:rPr>
      </w:pPr>
    </w:p>
    <w:p w14:paraId="75531B43" w14:textId="77777777" w:rsidR="00C12440" w:rsidRPr="001B74F4" w:rsidRDefault="00C12440" w:rsidP="00C12440">
      <w:pPr>
        <w:autoSpaceDE w:val="0"/>
        <w:autoSpaceDN w:val="0"/>
        <w:adjustRightInd w:val="0"/>
        <w:rPr>
          <w:rFonts w:ascii="Garamond" w:hAnsi="Garamond" w:cs="TimesNewRoman"/>
          <w:sz w:val="24"/>
          <w:szCs w:val="24"/>
        </w:rPr>
      </w:pPr>
      <w:r w:rsidRPr="001B74F4">
        <w:rPr>
          <w:rFonts w:ascii="Garamond" w:hAnsi="Garamond" w:cs="TimesNewRoman,Bold"/>
          <w:b/>
          <w:bCs/>
          <w:strike/>
          <w:sz w:val="24"/>
          <w:szCs w:val="24"/>
        </w:rPr>
        <w:t xml:space="preserve">[RB] TOWNHOUSE. </w:t>
      </w:r>
      <w:r w:rsidRPr="001B74F4">
        <w:rPr>
          <w:rFonts w:ascii="Garamond" w:hAnsi="Garamond" w:cs="TimesNewRoman"/>
          <w:strike/>
          <w:sz w:val="24"/>
          <w:szCs w:val="24"/>
        </w:rPr>
        <w:t xml:space="preserve">A single-family </w:t>
      </w:r>
      <w:r w:rsidRPr="001B74F4">
        <w:rPr>
          <w:rFonts w:ascii="Garamond" w:hAnsi="Garamond" w:cs="TimesNewRoman,Italic"/>
          <w:i/>
          <w:iCs/>
          <w:strike/>
          <w:sz w:val="24"/>
          <w:szCs w:val="24"/>
        </w:rPr>
        <w:t xml:space="preserve">dwelling unit </w:t>
      </w:r>
      <w:r w:rsidRPr="001B74F4">
        <w:rPr>
          <w:rFonts w:ascii="Garamond" w:hAnsi="Garamond" w:cs="TimesNewRoman"/>
          <w:strike/>
          <w:sz w:val="24"/>
          <w:szCs w:val="24"/>
        </w:rPr>
        <w:t xml:space="preserve">not exceeding three stories in height constructed in a group of two or more attached units with property lines separating such units in which each unit extends from foundation to roof and with a </w:t>
      </w:r>
      <w:r w:rsidRPr="001B74F4">
        <w:rPr>
          <w:rFonts w:ascii="Garamond" w:hAnsi="Garamond" w:cs="TimesNewRoman,Italic"/>
          <w:i/>
          <w:iCs/>
          <w:strike/>
          <w:sz w:val="24"/>
          <w:szCs w:val="24"/>
        </w:rPr>
        <w:t xml:space="preserve">yard </w:t>
      </w:r>
      <w:r w:rsidRPr="001B74F4">
        <w:rPr>
          <w:rFonts w:ascii="Garamond" w:hAnsi="Garamond" w:cs="TimesNewRoman"/>
          <w:strike/>
          <w:sz w:val="24"/>
          <w:szCs w:val="24"/>
        </w:rPr>
        <w:t>or public way on not less than two sides</w:t>
      </w:r>
      <w:r w:rsidRPr="001B74F4">
        <w:rPr>
          <w:rFonts w:ascii="Garamond" w:hAnsi="Garamond" w:cs="TimesNewRoman"/>
          <w:sz w:val="24"/>
          <w:szCs w:val="24"/>
        </w:rPr>
        <w:t>.</w:t>
      </w:r>
    </w:p>
    <w:p w14:paraId="1049DDAB" w14:textId="77777777" w:rsidR="00C12440" w:rsidRPr="001B74F4" w:rsidRDefault="00C12440" w:rsidP="00C12440">
      <w:pPr>
        <w:autoSpaceDE w:val="0"/>
        <w:autoSpaceDN w:val="0"/>
        <w:adjustRightInd w:val="0"/>
        <w:rPr>
          <w:rFonts w:ascii="Garamond" w:hAnsi="Garamond" w:cs="TimesNewRoman"/>
          <w:sz w:val="24"/>
          <w:szCs w:val="24"/>
        </w:rPr>
      </w:pPr>
    </w:p>
    <w:p w14:paraId="7CC99434"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[RB] TOWNHOUSE. </w:t>
      </w:r>
      <w:r w:rsidRPr="001B74F4">
        <w:rPr>
          <w:rFonts w:ascii="Garamond" w:hAnsi="Garamond"/>
          <w:sz w:val="24"/>
          <w:szCs w:val="24"/>
          <w:u w:val="single"/>
        </w:rPr>
        <w:t>A building that contains three or more attached townhouse units.</w:t>
      </w:r>
    </w:p>
    <w:p w14:paraId="5C4779BD" w14:textId="77777777" w:rsidR="00C12440" w:rsidRPr="001B74F4" w:rsidRDefault="00C12440" w:rsidP="00C12440">
      <w:pPr>
        <w:autoSpaceDE w:val="0"/>
        <w:autoSpaceDN w:val="0"/>
        <w:adjustRightInd w:val="0"/>
        <w:rPr>
          <w:rFonts w:ascii="Garamond" w:hAnsi="Garamond"/>
          <w:sz w:val="24"/>
          <w:szCs w:val="24"/>
          <w:u w:val="single"/>
        </w:rPr>
      </w:pPr>
    </w:p>
    <w:p w14:paraId="3D162266"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[RB] TOWNHOUSE UNIT. </w:t>
      </w:r>
      <w:r w:rsidRPr="001B74F4">
        <w:rPr>
          <w:rFonts w:ascii="Garamond" w:hAnsi="Garamond"/>
          <w:sz w:val="24"/>
          <w:szCs w:val="24"/>
          <w:u w:val="single"/>
        </w:rPr>
        <w:t xml:space="preserve">A single-family </w:t>
      </w:r>
      <w:r w:rsidRPr="001B74F4">
        <w:rPr>
          <w:rFonts w:ascii="Garamond" w:hAnsi="Garamond"/>
          <w:i/>
          <w:iCs/>
          <w:sz w:val="24"/>
          <w:szCs w:val="24"/>
          <w:u w:val="single"/>
        </w:rPr>
        <w:t xml:space="preserve">dwelling unit </w:t>
      </w:r>
      <w:r w:rsidRPr="001B74F4">
        <w:rPr>
          <w:rFonts w:ascii="Garamond" w:hAnsi="Garamond"/>
          <w:sz w:val="24"/>
          <w:szCs w:val="24"/>
          <w:u w:val="single"/>
        </w:rPr>
        <w:t xml:space="preserve">in a townhouse that extends from foundation to roof and that has a </w:t>
      </w:r>
      <w:r w:rsidRPr="001B74F4">
        <w:rPr>
          <w:rFonts w:ascii="Garamond" w:hAnsi="Garamond"/>
          <w:i/>
          <w:iCs/>
          <w:sz w:val="24"/>
          <w:szCs w:val="24"/>
          <w:u w:val="single"/>
        </w:rPr>
        <w:t xml:space="preserve">yard </w:t>
      </w:r>
      <w:r w:rsidRPr="001B74F4">
        <w:rPr>
          <w:rFonts w:ascii="Garamond" w:hAnsi="Garamond"/>
          <w:sz w:val="24"/>
          <w:szCs w:val="24"/>
          <w:u w:val="single"/>
        </w:rPr>
        <w:t>or public way on not less than two sides.</w:t>
      </w:r>
    </w:p>
    <w:bookmarkEnd w:id="1"/>
    <w:p w14:paraId="15327B9F" w14:textId="77777777" w:rsidR="00C12440" w:rsidRPr="001B74F4" w:rsidRDefault="00C12440" w:rsidP="00C12440">
      <w:pPr>
        <w:autoSpaceDE w:val="0"/>
        <w:autoSpaceDN w:val="0"/>
        <w:adjustRightInd w:val="0"/>
        <w:rPr>
          <w:rFonts w:ascii="Garamond" w:hAnsi="Garamond"/>
          <w:sz w:val="24"/>
          <w:szCs w:val="24"/>
          <w:u w:val="single"/>
        </w:rPr>
      </w:pPr>
    </w:p>
    <w:p w14:paraId="4CBD5110" w14:textId="77777777" w:rsidR="00C12440" w:rsidRPr="001B74F4" w:rsidRDefault="00C12440" w:rsidP="00C12440">
      <w:pPr>
        <w:autoSpaceDE w:val="0"/>
        <w:autoSpaceDN w:val="0"/>
        <w:adjustRightInd w:val="0"/>
        <w:rPr>
          <w:rFonts w:ascii="Garamond" w:hAnsi="Garamond"/>
          <w:sz w:val="24"/>
          <w:szCs w:val="24"/>
        </w:rPr>
      </w:pPr>
    </w:p>
    <w:p w14:paraId="15DBA589" w14:textId="77777777" w:rsidR="00C12440" w:rsidRPr="001B74F4" w:rsidRDefault="00C12440" w:rsidP="00C12440">
      <w:pPr>
        <w:autoSpaceDE w:val="0"/>
        <w:autoSpaceDN w:val="0"/>
        <w:adjustRightInd w:val="0"/>
        <w:rPr>
          <w:rFonts w:ascii="Garamond" w:hAnsi="Garamond" w:cs="TimesNewRoman,Bold"/>
          <w:b/>
          <w:bCs/>
          <w:sz w:val="24"/>
          <w:szCs w:val="24"/>
        </w:rPr>
      </w:pPr>
      <w:r w:rsidRPr="001B74F4">
        <w:rPr>
          <w:rFonts w:ascii="Garamond" w:hAnsi="Garamond"/>
          <w:sz w:val="24"/>
          <w:szCs w:val="24"/>
        </w:rPr>
        <w:t>Revise Definition in the FBC-B 202 as follows</w:t>
      </w:r>
    </w:p>
    <w:p w14:paraId="266A40A1" w14:textId="77777777" w:rsidR="00C12440" w:rsidRPr="001B74F4" w:rsidRDefault="00C12440" w:rsidP="00C12440">
      <w:pPr>
        <w:autoSpaceDE w:val="0"/>
        <w:autoSpaceDN w:val="0"/>
        <w:adjustRightInd w:val="0"/>
        <w:rPr>
          <w:rFonts w:ascii="Garamond" w:hAnsi="Garamond" w:cs="TimesNewRoman,Bold"/>
          <w:b/>
          <w:bCs/>
          <w:sz w:val="24"/>
          <w:szCs w:val="24"/>
        </w:rPr>
      </w:pPr>
    </w:p>
    <w:p w14:paraId="553E1B62" w14:textId="77777777" w:rsidR="00C12440" w:rsidRPr="001B74F4" w:rsidRDefault="00C12440" w:rsidP="00C12440">
      <w:pPr>
        <w:autoSpaceDE w:val="0"/>
        <w:autoSpaceDN w:val="0"/>
        <w:adjustRightInd w:val="0"/>
        <w:rPr>
          <w:rFonts w:ascii="Garamond" w:hAnsi="Garamond" w:cs="TimesNewRoman"/>
          <w:sz w:val="24"/>
          <w:szCs w:val="24"/>
        </w:rPr>
      </w:pPr>
      <w:r w:rsidRPr="001B74F4">
        <w:rPr>
          <w:rFonts w:ascii="Garamond" w:hAnsi="Garamond" w:cs="TimesNewRoman,Bold"/>
          <w:b/>
          <w:bCs/>
          <w:strike/>
          <w:sz w:val="24"/>
          <w:szCs w:val="24"/>
        </w:rPr>
        <w:t xml:space="preserve">[A] TOWNHOUSE. </w:t>
      </w:r>
      <w:r w:rsidRPr="001B74F4">
        <w:rPr>
          <w:rFonts w:ascii="Garamond" w:hAnsi="Garamond" w:cs="TimesNewRoman"/>
          <w:strike/>
          <w:sz w:val="24"/>
          <w:szCs w:val="24"/>
        </w:rPr>
        <w:t xml:space="preserve">A single-family </w:t>
      </w:r>
      <w:r w:rsidRPr="001B74F4">
        <w:rPr>
          <w:rFonts w:ascii="Garamond" w:hAnsi="Garamond" w:cs="TimesNewRoman,Italic"/>
          <w:i/>
          <w:iCs/>
          <w:strike/>
          <w:sz w:val="24"/>
          <w:szCs w:val="24"/>
        </w:rPr>
        <w:t xml:space="preserve">dwelling unit </w:t>
      </w:r>
      <w:r w:rsidRPr="001B74F4">
        <w:rPr>
          <w:rFonts w:ascii="Garamond" w:hAnsi="Garamond" w:cs="TimesNewRoman"/>
          <w:strike/>
          <w:sz w:val="24"/>
          <w:szCs w:val="24"/>
        </w:rPr>
        <w:t xml:space="preserve">not exceeding three stories in height constructed in a group of two or more attached units with property lines separating such units in which each unit extends from foundation to roof and with a </w:t>
      </w:r>
      <w:r w:rsidRPr="001B74F4">
        <w:rPr>
          <w:rFonts w:ascii="Garamond" w:hAnsi="Garamond" w:cs="TimesNewRoman,Italic"/>
          <w:i/>
          <w:iCs/>
          <w:strike/>
          <w:sz w:val="24"/>
          <w:szCs w:val="24"/>
        </w:rPr>
        <w:t xml:space="preserve">yard </w:t>
      </w:r>
      <w:r w:rsidRPr="001B74F4">
        <w:rPr>
          <w:rFonts w:ascii="Garamond" w:hAnsi="Garamond" w:cs="TimesNewRoman"/>
          <w:strike/>
          <w:sz w:val="24"/>
          <w:szCs w:val="24"/>
        </w:rPr>
        <w:t>or public way on not less than two sides</w:t>
      </w:r>
      <w:r w:rsidRPr="001B74F4">
        <w:rPr>
          <w:rFonts w:ascii="Garamond" w:hAnsi="Garamond" w:cs="TimesNewRoman"/>
          <w:sz w:val="24"/>
          <w:szCs w:val="24"/>
        </w:rPr>
        <w:t>.</w:t>
      </w:r>
    </w:p>
    <w:p w14:paraId="4AAD4F99" w14:textId="77777777" w:rsidR="00C12440" w:rsidRPr="001B74F4" w:rsidRDefault="00C12440" w:rsidP="00C12440">
      <w:pPr>
        <w:autoSpaceDE w:val="0"/>
        <w:autoSpaceDN w:val="0"/>
        <w:adjustRightInd w:val="0"/>
        <w:rPr>
          <w:rFonts w:ascii="Garamond" w:hAnsi="Garamond" w:cs="TimesNewRoman"/>
          <w:sz w:val="24"/>
          <w:szCs w:val="24"/>
        </w:rPr>
      </w:pPr>
    </w:p>
    <w:p w14:paraId="75D387FB"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[A] TOWNHOUSE. </w:t>
      </w:r>
      <w:r w:rsidRPr="001B74F4">
        <w:rPr>
          <w:rFonts w:ascii="Garamond" w:hAnsi="Garamond"/>
          <w:sz w:val="24"/>
          <w:szCs w:val="24"/>
          <w:u w:val="single"/>
        </w:rPr>
        <w:t>A building that contains three or more attached townhouse units.</w:t>
      </w:r>
    </w:p>
    <w:p w14:paraId="4F149B7F" w14:textId="77777777" w:rsidR="00C12440" w:rsidRPr="001B74F4" w:rsidRDefault="00C12440" w:rsidP="00C12440">
      <w:pPr>
        <w:autoSpaceDE w:val="0"/>
        <w:autoSpaceDN w:val="0"/>
        <w:adjustRightInd w:val="0"/>
        <w:rPr>
          <w:rFonts w:ascii="Garamond" w:hAnsi="Garamond"/>
          <w:sz w:val="24"/>
          <w:szCs w:val="24"/>
          <w:u w:val="single"/>
        </w:rPr>
      </w:pPr>
    </w:p>
    <w:p w14:paraId="649E45F4"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[A] TOWNHOUSE UNIT. </w:t>
      </w:r>
      <w:r w:rsidRPr="001B74F4">
        <w:rPr>
          <w:rFonts w:ascii="Garamond" w:hAnsi="Garamond"/>
          <w:sz w:val="24"/>
          <w:szCs w:val="24"/>
          <w:u w:val="single"/>
        </w:rPr>
        <w:t xml:space="preserve">A single-family </w:t>
      </w:r>
      <w:r w:rsidRPr="001B74F4">
        <w:rPr>
          <w:rFonts w:ascii="Garamond" w:hAnsi="Garamond"/>
          <w:i/>
          <w:iCs/>
          <w:sz w:val="24"/>
          <w:szCs w:val="24"/>
          <w:u w:val="single"/>
        </w:rPr>
        <w:t xml:space="preserve">dwelling unit </w:t>
      </w:r>
      <w:r w:rsidRPr="001B74F4">
        <w:rPr>
          <w:rFonts w:ascii="Garamond" w:hAnsi="Garamond"/>
          <w:sz w:val="24"/>
          <w:szCs w:val="24"/>
          <w:u w:val="single"/>
        </w:rPr>
        <w:t xml:space="preserve">in a townhouse that extends from foundation to roof and that has a </w:t>
      </w:r>
      <w:r w:rsidRPr="001B74F4">
        <w:rPr>
          <w:rFonts w:ascii="Garamond" w:hAnsi="Garamond"/>
          <w:i/>
          <w:iCs/>
          <w:sz w:val="24"/>
          <w:szCs w:val="24"/>
          <w:u w:val="single"/>
        </w:rPr>
        <w:t xml:space="preserve">yard </w:t>
      </w:r>
      <w:r w:rsidRPr="001B74F4">
        <w:rPr>
          <w:rFonts w:ascii="Garamond" w:hAnsi="Garamond"/>
          <w:sz w:val="24"/>
          <w:szCs w:val="24"/>
          <w:u w:val="single"/>
        </w:rPr>
        <w:t>or public way on not less than two sides.</w:t>
      </w:r>
    </w:p>
    <w:p w14:paraId="26EE9448" w14:textId="77777777" w:rsidR="00C12440" w:rsidRPr="001B74F4" w:rsidRDefault="00C12440" w:rsidP="00C12440">
      <w:pPr>
        <w:autoSpaceDE w:val="0"/>
        <w:autoSpaceDN w:val="0"/>
        <w:adjustRightInd w:val="0"/>
        <w:rPr>
          <w:rFonts w:ascii="Garamond" w:hAnsi="Garamond"/>
          <w:sz w:val="24"/>
          <w:szCs w:val="24"/>
          <w:u w:val="single"/>
        </w:rPr>
      </w:pPr>
    </w:p>
    <w:p w14:paraId="29BB648D" w14:textId="77777777" w:rsidR="00C12440" w:rsidRPr="001B74F4" w:rsidRDefault="00C12440" w:rsidP="00C12440">
      <w:pPr>
        <w:autoSpaceDE w:val="0"/>
        <w:autoSpaceDN w:val="0"/>
        <w:adjustRightInd w:val="0"/>
        <w:rPr>
          <w:rFonts w:ascii="Garamond" w:hAnsi="Garamond"/>
          <w:sz w:val="24"/>
          <w:szCs w:val="24"/>
          <w:u w:val="single"/>
        </w:rPr>
      </w:pPr>
    </w:p>
    <w:p w14:paraId="150D3943"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Reason:</w:t>
      </w:r>
    </w:p>
    <w:p w14:paraId="375A701E" w14:textId="77777777" w:rsidR="00C12440" w:rsidRPr="001B74F4" w:rsidRDefault="00C12440" w:rsidP="00C12440">
      <w:pPr>
        <w:autoSpaceDE w:val="0"/>
        <w:autoSpaceDN w:val="0"/>
        <w:adjustRightInd w:val="0"/>
        <w:rPr>
          <w:rFonts w:ascii="Garamond" w:hAnsi="Garamond"/>
          <w:sz w:val="24"/>
          <w:szCs w:val="24"/>
        </w:rPr>
      </w:pPr>
    </w:p>
    <w:p w14:paraId="238C1241"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 xml:space="preserve">To update the FBC-R and FBC-B townhouse definition with the current IRC and IBC definition. The I-Codes have moved away from defining townhomes in relation to a property line and focused on establishment of a 2-hour fire barrier that totally separates dwelling units from the ground through the roof. The I-Codes recognize that ownership of the dwelling units is not relevant to building and fire safety in this instance. </w:t>
      </w:r>
    </w:p>
    <w:p w14:paraId="4FA51BE8" w14:textId="77777777" w:rsidR="00C12440" w:rsidRPr="001B74F4" w:rsidRDefault="00C12440" w:rsidP="00C12440">
      <w:pPr>
        <w:autoSpaceDE w:val="0"/>
        <w:autoSpaceDN w:val="0"/>
        <w:adjustRightInd w:val="0"/>
        <w:rPr>
          <w:rFonts w:ascii="Garamond" w:hAnsi="Garamond"/>
          <w:sz w:val="24"/>
          <w:szCs w:val="24"/>
        </w:rPr>
      </w:pPr>
    </w:p>
    <w:p w14:paraId="0C2C7A63"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 xml:space="preserve">This change will enable Homebuilders and Developers to build townhouse projects without requiring them to subdivide properties into individual lots which will save considerable time and money in the development process. Requiring Homebuilders and Developers to go through any local subdivision process is a complex time consuming process that ultimately does not afford any higher level of building or fire safety for the occupants of a townhome. The 2-hr fire barrier (party wall) that extends from the grade to the roof in the manner prescribed in the Code is what provides the highest degree of occupant and property protection. For this reason, we believe the ICC Codes have eliminated the need for establishing properly lines between townhomes. </w:t>
      </w:r>
    </w:p>
    <w:p w14:paraId="215FD90C" w14:textId="77777777" w:rsidR="00C12440" w:rsidRPr="001B74F4" w:rsidRDefault="00C12440" w:rsidP="00C12440">
      <w:pPr>
        <w:autoSpaceDE w:val="0"/>
        <w:autoSpaceDN w:val="0"/>
        <w:adjustRightInd w:val="0"/>
        <w:rPr>
          <w:rFonts w:ascii="Garamond" w:hAnsi="Garamond"/>
          <w:sz w:val="24"/>
          <w:szCs w:val="24"/>
        </w:rPr>
      </w:pPr>
    </w:p>
    <w:p w14:paraId="751653DC"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 xml:space="preserve">There is a similar but different townhouse definition in FS 481.203, which supports the Architect’s practice act, and some may contend this establishes a conflict with the proposed building code modification. We contend the language in FS 481 is meant to provide Architects with the authority to design townhomes and the definition used in the Statute is outdated language brought forward from a much older Building Code. We would profess that the 2 </w:t>
      </w:r>
      <w:r w:rsidRPr="001B74F4">
        <w:rPr>
          <w:rFonts w:ascii="Garamond" w:hAnsi="Garamond"/>
          <w:sz w:val="24"/>
          <w:szCs w:val="24"/>
        </w:rPr>
        <w:lastRenderedPageBreak/>
        <w:t>definitions are not technically in conflict since the FS481 version is intended to define what an Architect can design whereas the FBC proposed code definition is intended to define the building type for building code safety purposes in an effort to be consistent with the current editions of the IRC and the IBC.</w:t>
      </w:r>
    </w:p>
    <w:p w14:paraId="6D2AFB6E" w14:textId="77777777" w:rsidR="00C12440" w:rsidRPr="001B74F4" w:rsidRDefault="00C12440" w:rsidP="00C84F6C">
      <w:pPr>
        <w:rPr>
          <w:rFonts w:ascii="Garamond" w:hAnsi="Garamond"/>
          <w:b/>
          <w:bCs/>
          <w:color w:val="000000"/>
          <w:sz w:val="24"/>
          <w:szCs w:val="24"/>
        </w:rPr>
      </w:pPr>
    </w:p>
    <w:p w14:paraId="24FC96B6" w14:textId="77777777" w:rsidR="008D169F" w:rsidRPr="001B74F4" w:rsidRDefault="008D169F" w:rsidP="008D169F">
      <w:pPr>
        <w:shd w:val="clear" w:color="auto" w:fill="FFFFFF"/>
        <w:outlineLvl w:val="0"/>
        <w:rPr>
          <w:rFonts w:ascii="Garamond" w:eastAsia="Times New Roman" w:hAnsi="Garamond" w:cs="Arial"/>
          <w:b/>
          <w:bCs/>
          <w:color w:val="000000"/>
          <w:kern w:val="36"/>
          <w:sz w:val="21"/>
          <w:szCs w:val="21"/>
        </w:rPr>
      </w:pPr>
    </w:p>
    <w:p w14:paraId="4B93A063" w14:textId="77777777" w:rsidR="005B0920" w:rsidRPr="001B74F4" w:rsidRDefault="005B0920" w:rsidP="008D169F">
      <w:pPr>
        <w:rPr>
          <w:rFonts w:ascii="Garamond" w:hAnsi="Garamond"/>
          <w:b/>
          <w:bCs/>
          <w:color w:val="FF0000"/>
          <w:szCs w:val="22"/>
        </w:rPr>
      </w:pPr>
    </w:p>
    <w:p w14:paraId="092E7F64" w14:textId="584AE081" w:rsidR="008D169F" w:rsidRPr="001B74F4" w:rsidRDefault="008D169F" w:rsidP="008D169F">
      <w:pPr>
        <w:rPr>
          <w:rFonts w:ascii="Garamond" w:hAnsi="Garamond"/>
          <w:b/>
          <w:bCs/>
          <w:color w:val="FF0000"/>
          <w:szCs w:val="22"/>
        </w:rPr>
      </w:pPr>
      <w:r w:rsidRPr="001B74F4">
        <w:rPr>
          <w:rFonts w:ascii="Garamond" w:hAnsi="Garamond"/>
          <w:b/>
          <w:bCs/>
          <w:color w:val="FF0000"/>
          <w:szCs w:val="22"/>
        </w:rPr>
        <w:t>8th Edition (2023) Florida Building Code, Existing Building</w:t>
      </w:r>
    </w:p>
    <w:p w14:paraId="57D9C671" w14:textId="77777777" w:rsidR="008D169F" w:rsidRPr="001B74F4" w:rsidRDefault="008D169F" w:rsidP="008D169F">
      <w:pPr>
        <w:rPr>
          <w:rFonts w:ascii="Garamond" w:hAnsi="Garamond"/>
          <w:b/>
          <w:bCs/>
          <w:color w:val="FF0000"/>
          <w:szCs w:val="22"/>
        </w:rPr>
      </w:pPr>
    </w:p>
    <w:p w14:paraId="589EAFD8" w14:textId="77777777" w:rsidR="008D169F" w:rsidRPr="001B74F4" w:rsidRDefault="008D169F" w:rsidP="008D169F">
      <w:pPr>
        <w:autoSpaceDE w:val="0"/>
        <w:autoSpaceDN w:val="0"/>
        <w:adjustRightInd w:val="0"/>
        <w:rPr>
          <w:rFonts w:ascii="Garamond" w:hAnsi="Garamond"/>
          <w:b/>
          <w:bCs/>
          <w:color w:val="FF0000"/>
          <w:sz w:val="24"/>
          <w:szCs w:val="24"/>
        </w:rPr>
      </w:pPr>
      <w:r w:rsidRPr="001B74F4">
        <w:rPr>
          <w:rFonts w:ascii="Garamond" w:hAnsi="Garamond" w:cs="Helvetica-Bold"/>
          <w:b/>
          <w:bCs/>
          <w:sz w:val="24"/>
          <w:szCs w:val="24"/>
          <w:highlight w:val="yellow"/>
        </w:rPr>
        <w:t>CHAPTER 5 PRESCRIPTIVE COMPLIANCE METHOD</w:t>
      </w:r>
    </w:p>
    <w:p w14:paraId="5ACCE6A8" w14:textId="77777777" w:rsidR="00086AA5" w:rsidRPr="001B74F4" w:rsidRDefault="00086AA5" w:rsidP="00EF3FC7">
      <w:pPr>
        <w:rPr>
          <w:rFonts w:ascii="Garamond" w:eastAsia="Times New Roman" w:hAnsi="Garamond"/>
          <w:b/>
          <w:bCs/>
          <w:szCs w:val="22"/>
        </w:rPr>
      </w:pPr>
    </w:p>
    <w:p w14:paraId="01B9982C" w14:textId="77777777" w:rsidR="00EF3FC7" w:rsidRPr="001B74F4" w:rsidRDefault="00EF3FC7" w:rsidP="00EF3FC7">
      <w:pPr>
        <w:rPr>
          <w:rFonts w:ascii="Garamond" w:eastAsia="Times New Roman" w:hAnsi="Garamond"/>
          <w:szCs w:val="22"/>
        </w:rPr>
      </w:pPr>
      <w:r w:rsidRPr="001B74F4">
        <w:rPr>
          <w:rFonts w:ascii="Garamond" w:eastAsia="Times New Roman" w:hAnsi="Garamond"/>
          <w:b/>
          <w:bCs/>
          <w:szCs w:val="22"/>
        </w:rPr>
        <w:t>From:</w:t>
      </w:r>
      <w:r w:rsidRPr="001B74F4">
        <w:rPr>
          <w:rFonts w:ascii="Garamond" w:eastAsia="Times New Roman" w:hAnsi="Garamond"/>
          <w:szCs w:val="22"/>
        </w:rPr>
        <w:t xml:space="preserve"> Jennifer Hatfield [mailto:jen@jhatfieldandassociates.com] </w:t>
      </w:r>
      <w:r w:rsidRPr="001B74F4">
        <w:rPr>
          <w:rFonts w:ascii="Garamond" w:eastAsia="Times New Roman" w:hAnsi="Garamond"/>
          <w:szCs w:val="22"/>
        </w:rPr>
        <w:br/>
      </w:r>
      <w:r w:rsidRPr="001B74F4">
        <w:rPr>
          <w:rFonts w:ascii="Garamond" w:eastAsia="Times New Roman" w:hAnsi="Garamond"/>
          <w:b/>
          <w:bCs/>
          <w:szCs w:val="22"/>
        </w:rPr>
        <w:t>Sent:</w:t>
      </w:r>
      <w:r w:rsidRPr="001B74F4">
        <w:rPr>
          <w:rFonts w:ascii="Garamond" w:eastAsia="Times New Roman" w:hAnsi="Garamond"/>
          <w:szCs w:val="22"/>
        </w:rPr>
        <w:t xml:space="preserve"> Tuesday, January 31, 2023 5:34 PM</w:t>
      </w:r>
      <w:r w:rsidRPr="001B74F4">
        <w:rPr>
          <w:rFonts w:ascii="Garamond" w:eastAsia="Times New Roman" w:hAnsi="Garamond"/>
          <w:szCs w:val="22"/>
        </w:rPr>
        <w:br/>
      </w:r>
      <w:r w:rsidRPr="001B74F4">
        <w:rPr>
          <w:rFonts w:ascii="Garamond" w:eastAsia="Times New Roman" w:hAnsi="Garamond"/>
          <w:b/>
          <w:bCs/>
          <w:szCs w:val="22"/>
        </w:rPr>
        <w:t>To:</w:t>
      </w:r>
      <w:r w:rsidRPr="001B74F4">
        <w:rPr>
          <w:rFonts w:ascii="Garamond" w:eastAsia="Times New Roman" w:hAnsi="Garamond"/>
          <w:szCs w:val="22"/>
        </w:rPr>
        <w:t xml:space="preserve"> Madani, Mo &lt;Mo.Madani@myfloridalicense.com&gt;</w:t>
      </w:r>
      <w:r w:rsidRPr="001B74F4">
        <w:rPr>
          <w:rFonts w:ascii="Garamond" w:eastAsia="Times New Roman" w:hAnsi="Garamond"/>
          <w:szCs w:val="22"/>
        </w:rPr>
        <w:br/>
      </w:r>
      <w:r w:rsidRPr="001B74F4">
        <w:rPr>
          <w:rFonts w:ascii="Garamond" w:eastAsia="Times New Roman" w:hAnsi="Garamond"/>
          <w:b/>
          <w:bCs/>
          <w:szCs w:val="22"/>
        </w:rPr>
        <w:t>Subject:</w:t>
      </w:r>
      <w:r w:rsidRPr="001B74F4">
        <w:rPr>
          <w:rFonts w:ascii="Garamond" w:eastAsia="Times New Roman" w:hAnsi="Garamond"/>
          <w:szCs w:val="22"/>
        </w:rPr>
        <w:t xml:space="preserve"> FGIA comment on FBC supplement</w:t>
      </w:r>
    </w:p>
    <w:p w14:paraId="480F7AFE" w14:textId="77777777" w:rsidR="00EF3FC7" w:rsidRPr="001B74F4" w:rsidRDefault="00EF3FC7" w:rsidP="00C84F6C">
      <w:pPr>
        <w:rPr>
          <w:rFonts w:ascii="Garamond" w:hAnsi="Garamond"/>
          <w:b/>
          <w:bCs/>
          <w:color w:val="000000"/>
          <w:sz w:val="24"/>
          <w:szCs w:val="24"/>
        </w:rPr>
      </w:pPr>
    </w:p>
    <w:p w14:paraId="14EE4628" w14:textId="77777777" w:rsidR="00EF3FC7" w:rsidRPr="001B74F4" w:rsidRDefault="00EF3FC7" w:rsidP="00EF3FC7">
      <w:pPr>
        <w:rPr>
          <w:rFonts w:ascii="Garamond" w:eastAsia="Times New Roman" w:hAnsi="Garamond"/>
        </w:rPr>
      </w:pPr>
      <w:r w:rsidRPr="001B74F4">
        <w:rPr>
          <w:rFonts w:ascii="Garamond" w:eastAsia="Times New Roman" w:hAnsi="Garamond"/>
        </w:rPr>
        <w:t xml:space="preserve">  </w:t>
      </w:r>
    </w:p>
    <w:p w14:paraId="14063BE2" w14:textId="77777777" w:rsidR="00EF3FC7" w:rsidRPr="001B74F4" w:rsidRDefault="00EF3FC7" w:rsidP="00EF3FC7">
      <w:pPr>
        <w:rPr>
          <w:rFonts w:ascii="Garamond" w:eastAsiaTheme="minorHAnsi" w:hAnsi="Garamond" w:cs="Calibri"/>
          <w:szCs w:val="22"/>
        </w:rPr>
      </w:pPr>
      <w:r w:rsidRPr="001B74F4">
        <w:rPr>
          <w:rFonts w:ascii="Garamond" w:hAnsi="Garamond"/>
          <w:szCs w:val="22"/>
        </w:rPr>
        <w:t>Mo – please find attached the Fenestration &amp; Glazing Industry Alliance’s comment for consideration by the appropriate TAC and Commission.</w:t>
      </w:r>
    </w:p>
    <w:p w14:paraId="4E340E4A" w14:textId="77777777" w:rsidR="00EF3FC7" w:rsidRPr="001B74F4" w:rsidRDefault="00EF3FC7" w:rsidP="00EF3FC7">
      <w:pPr>
        <w:jc w:val="center"/>
        <w:rPr>
          <w:rFonts w:ascii="Garamond" w:hAnsi="Garamond"/>
        </w:rPr>
      </w:pPr>
    </w:p>
    <w:p w14:paraId="3E1507C5" w14:textId="77777777" w:rsidR="00EF3FC7" w:rsidRPr="001B74F4" w:rsidRDefault="00EF3FC7" w:rsidP="00EF3FC7">
      <w:pPr>
        <w:jc w:val="center"/>
        <w:rPr>
          <w:rFonts w:ascii="Garamond" w:hAnsi="Garamond"/>
        </w:rPr>
      </w:pPr>
    </w:p>
    <w:p w14:paraId="47D7F711" w14:textId="77777777" w:rsidR="00EF3FC7" w:rsidRPr="001B74F4" w:rsidRDefault="00EF3FC7" w:rsidP="00EF3FC7">
      <w:pPr>
        <w:jc w:val="center"/>
        <w:rPr>
          <w:rFonts w:ascii="Garamond" w:hAnsi="Garamond"/>
        </w:rPr>
      </w:pPr>
      <w:r w:rsidRPr="001B74F4">
        <w:rPr>
          <w:rFonts w:ascii="Garamond" w:hAnsi="Garamond"/>
        </w:rPr>
        <w:t>Fenestration &amp; Glazing Industry Alliance (FGIA) Comment on Florida Supplement to the 7</w:t>
      </w:r>
      <w:r w:rsidRPr="001B74F4">
        <w:rPr>
          <w:rFonts w:ascii="Garamond" w:hAnsi="Garamond"/>
          <w:vertAlign w:val="superscript"/>
        </w:rPr>
        <w:t>th</w:t>
      </w:r>
      <w:r w:rsidRPr="001B74F4">
        <w:rPr>
          <w:rFonts w:ascii="Garamond" w:hAnsi="Garamond"/>
        </w:rPr>
        <w:t xml:space="preserve"> edition, for the 8</w:t>
      </w:r>
      <w:r w:rsidRPr="001B74F4">
        <w:rPr>
          <w:rFonts w:ascii="Garamond" w:hAnsi="Garamond"/>
          <w:vertAlign w:val="superscript"/>
        </w:rPr>
        <w:t>th</w:t>
      </w:r>
      <w:r w:rsidRPr="001B74F4">
        <w:rPr>
          <w:rFonts w:ascii="Garamond" w:hAnsi="Garamond"/>
        </w:rPr>
        <w:t xml:space="preserve"> edition Florida Building Code</w:t>
      </w:r>
    </w:p>
    <w:p w14:paraId="432E3399" w14:textId="77777777" w:rsidR="00EF3FC7" w:rsidRPr="001B74F4" w:rsidRDefault="00EF3FC7" w:rsidP="00EF3FC7">
      <w:pPr>
        <w:rPr>
          <w:rFonts w:ascii="Garamond" w:hAnsi="Garamond"/>
        </w:rPr>
      </w:pPr>
    </w:p>
    <w:p w14:paraId="5E7E480D" w14:textId="77777777" w:rsidR="00EF3FC7" w:rsidRPr="001B74F4" w:rsidRDefault="00EF3FC7" w:rsidP="00EF3FC7">
      <w:pPr>
        <w:rPr>
          <w:rFonts w:ascii="Garamond" w:eastAsia="Times New Roman" w:hAnsi="Garamond" w:cs="Calibri"/>
          <w:color w:val="000000"/>
          <w:szCs w:val="22"/>
        </w:rPr>
      </w:pPr>
    </w:p>
    <w:p w14:paraId="2D9F01E6" w14:textId="77777777" w:rsidR="00EF3FC7" w:rsidRPr="001B74F4" w:rsidRDefault="00EF3FC7" w:rsidP="00EF3FC7">
      <w:pPr>
        <w:rPr>
          <w:rFonts w:ascii="Garamond" w:eastAsia="Times New Roman" w:hAnsi="Garamond" w:cs="Calibri"/>
          <w:b/>
          <w:bCs/>
          <w:color w:val="000000"/>
          <w:sz w:val="27"/>
          <w:szCs w:val="27"/>
        </w:rPr>
      </w:pPr>
      <w:r w:rsidRPr="001B74F4">
        <w:rPr>
          <w:rFonts w:ascii="Garamond" w:eastAsia="Times New Roman" w:hAnsi="Garamond" w:cs="Calibri"/>
          <w:b/>
          <w:bCs/>
          <w:color w:val="000000"/>
          <w:szCs w:val="22"/>
        </w:rPr>
        <w:t>Revise the following Florida Existing Building Code sections as follows:</w:t>
      </w:r>
    </w:p>
    <w:p w14:paraId="4818B2F7" w14:textId="77777777" w:rsidR="00EF3FC7" w:rsidRPr="001B74F4" w:rsidRDefault="00EF3FC7" w:rsidP="00EF3FC7">
      <w:pPr>
        <w:spacing w:before="100" w:beforeAutospacing="1" w:line="231" w:lineRule="atLeast"/>
        <w:ind w:left="720"/>
        <w:rPr>
          <w:rFonts w:ascii="Garamond" w:eastAsia="Times New Roman" w:hAnsi="Garamond" w:cs="Calibri"/>
          <w:color w:val="000000"/>
          <w:szCs w:val="22"/>
        </w:rPr>
      </w:pPr>
      <w:r w:rsidRPr="001B74F4">
        <w:rPr>
          <w:rFonts w:ascii="Garamond" w:eastAsia="Times New Roman" w:hAnsi="Garamond" w:cs="Calibri"/>
          <w:b/>
          <w:bCs/>
          <w:color w:val="000000"/>
          <w:szCs w:val="22"/>
        </w:rPr>
        <w:t>505.2 Window </w:t>
      </w:r>
      <w:r w:rsidRPr="001B74F4">
        <w:rPr>
          <w:rFonts w:ascii="Garamond" w:eastAsia="Times New Roman" w:hAnsi="Garamond" w:cs="Calibri"/>
          <w:b/>
          <w:bCs/>
          <w:color w:val="000000"/>
          <w:szCs w:val="22"/>
          <w:highlight w:val="yellow"/>
          <w:u w:val="single"/>
          <w:shd w:val="clear" w:color="auto" w:fill="00FFFF"/>
        </w:rPr>
        <w:t>fall prevention</w:t>
      </w:r>
      <w:r w:rsidRPr="001B74F4">
        <w:rPr>
          <w:rFonts w:ascii="Garamond" w:eastAsia="Times New Roman" w:hAnsi="Garamond" w:cs="Calibri"/>
          <w:b/>
          <w:bCs/>
          <w:color w:val="000000"/>
          <w:szCs w:val="22"/>
          <w:highlight w:val="yellow"/>
          <w:shd w:val="clear" w:color="auto" w:fill="00FFFF"/>
        </w:rPr>
        <w:t> </w:t>
      </w:r>
      <w:r w:rsidRPr="001B74F4">
        <w:rPr>
          <w:rFonts w:ascii="Garamond" w:eastAsia="Times New Roman" w:hAnsi="Garamond" w:cs="Calibri"/>
          <w:b/>
          <w:bCs/>
          <w:strike/>
          <w:color w:val="000000"/>
          <w:szCs w:val="22"/>
          <w:highlight w:val="yellow"/>
          <w:shd w:val="clear" w:color="auto" w:fill="00FFFF"/>
        </w:rPr>
        <w:t>opening control devices</w:t>
      </w:r>
      <w:r w:rsidRPr="001B74F4">
        <w:rPr>
          <w:rFonts w:ascii="Garamond" w:eastAsia="Times New Roman" w:hAnsi="Garamond" w:cs="Calibri"/>
          <w:b/>
          <w:bCs/>
          <w:color w:val="000000"/>
          <w:szCs w:val="22"/>
        </w:rPr>
        <w:t> on replacement windows.</w:t>
      </w:r>
      <w:r w:rsidRPr="001B74F4">
        <w:rPr>
          <w:rFonts w:ascii="Garamond" w:eastAsia="Times New Roman" w:hAnsi="Garamond" w:cs="Calibri"/>
          <w:color w:val="000000"/>
          <w:szCs w:val="22"/>
        </w:rPr>
        <w:t> In Group R-2 or R-3 buildings containing dwelling units and one- and two-family dwellings and townhouses regulated by the </w:t>
      </w:r>
      <w:r w:rsidRPr="001B74F4">
        <w:rPr>
          <w:rFonts w:ascii="Garamond" w:eastAsia="Times New Roman" w:hAnsi="Garamond" w:cs="Calibri"/>
          <w:i/>
          <w:iCs/>
          <w:color w:val="000000"/>
          <w:szCs w:val="22"/>
        </w:rPr>
        <w:t>Florida Building Code, Residential,</w:t>
      </w:r>
      <w:r w:rsidRPr="001B74F4">
        <w:rPr>
          <w:rFonts w:ascii="Garamond" w:eastAsia="Times New Roman" w:hAnsi="Garamond" w:cs="Calibri"/>
          <w:color w:val="000000"/>
          <w:szCs w:val="22"/>
        </w:rPr>
        <w:t> window opening control devices or </w:t>
      </w:r>
      <w:r w:rsidRPr="001B74F4">
        <w:rPr>
          <w:rFonts w:ascii="Garamond" w:eastAsia="Times New Roman" w:hAnsi="Garamond" w:cs="Calibri"/>
          <w:color w:val="000000"/>
          <w:szCs w:val="22"/>
          <w:highlight w:val="yellow"/>
          <w:u w:val="single"/>
          <w:shd w:val="clear" w:color="auto" w:fill="00FFFF"/>
        </w:rPr>
        <w:t>other window</w:t>
      </w:r>
      <w:r w:rsidRPr="001B74F4">
        <w:rPr>
          <w:rFonts w:ascii="Garamond" w:eastAsia="Times New Roman" w:hAnsi="Garamond" w:cs="Calibri"/>
          <w:color w:val="000000"/>
          <w:szCs w:val="22"/>
        </w:rPr>
        <w:t> fall prevention devices complying with ASTM F2090 shall be installed where an existing window is replaced and where all of the following apply to the replacement window:</w:t>
      </w:r>
    </w:p>
    <w:p w14:paraId="76968279" w14:textId="77777777" w:rsidR="00EF3FC7" w:rsidRPr="001B74F4" w:rsidRDefault="00EF3FC7" w:rsidP="00EF3FC7">
      <w:pPr>
        <w:spacing w:before="100" w:beforeAutospacing="1" w:line="231" w:lineRule="atLeast"/>
        <w:ind w:left="720"/>
        <w:rPr>
          <w:rFonts w:ascii="Garamond" w:eastAsia="Times New Roman" w:hAnsi="Garamond" w:cs="Calibri"/>
          <w:color w:val="000000"/>
          <w:szCs w:val="22"/>
        </w:rPr>
      </w:pPr>
      <w:r w:rsidRPr="001B74F4">
        <w:rPr>
          <w:rFonts w:ascii="Garamond" w:eastAsia="Times New Roman" w:hAnsi="Garamond" w:cs="Calibri"/>
          <w:b/>
          <w:bCs/>
          <w:color w:val="000000"/>
          <w:szCs w:val="22"/>
        </w:rPr>
        <w:t>702.4 Window </w:t>
      </w:r>
      <w:r w:rsidRPr="001B74F4">
        <w:rPr>
          <w:rFonts w:ascii="Garamond" w:eastAsia="Times New Roman" w:hAnsi="Garamond" w:cs="Calibri"/>
          <w:b/>
          <w:bCs/>
          <w:color w:val="000000"/>
          <w:szCs w:val="22"/>
          <w:highlight w:val="yellow"/>
          <w:u w:val="single"/>
          <w:shd w:val="clear" w:color="auto" w:fill="00FFFF"/>
        </w:rPr>
        <w:t>fall prevention</w:t>
      </w:r>
      <w:r w:rsidRPr="001B74F4">
        <w:rPr>
          <w:rFonts w:ascii="Garamond" w:eastAsia="Times New Roman" w:hAnsi="Garamond" w:cs="Calibri"/>
          <w:b/>
          <w:bCs/>
          <w:color w:val="000000"/>
          <w:szCs w:val="22"/>
          <w:highlight w:val="yellow"/>
        </w:rPr>
        <w:t> </w:t>
      </w:r>
      <w:r w:rsidRPr="001B74F4">
        <w:rPr>
          <w:rFonts w:ascii="Garamond" w:eastAsia="Times New Roman" w:hAnsi="Garamond" w:cs="Calibri"/>
          <w:b/>
          <w:bCs/>
          <w:strike/>
          <w:color w:val="000000"/>
          <w:szCs w:val="22"/>
          <w:highlight w:val="yellow"/>
          <w:shd w:val="clear" w:color="auto" w:fill="00FFFF"/>
        </w:rPr>
        <w:t>opening control devices</w:t>
      </w:r>
      <w:r w:rsidRPr="001B74F4">
        <w:rPr>
          <w:rFonts w:ascii="Garamond" w:eastAsia="Times New Roman" w:hAnsi="Garamond" w:cs="Calibri"/>
          <w:b/>
          <w:bCs/>
          <w:color w:val="000000"/>
          <w:szCs w:val="22"/>
        </w:rPr>
        <w:t> on replacement windows.</w:t>
      </w:r>
      <w:r w:rsidRPr="001B74F4">
        <w:rPr>
          <w:rFonts w:ascii="Garamond" w:eastAsia="Times New Roman" w:hAnsi="Garamond" w:cs="Calibri"/>
          <w:color w:val="000000"/>
          <w:szCs w:val="22"/>
        </w:rPr>
        <w:t> In Group R-2 or R-3 buildings containing dwelling units and one- and two-family dwellings and townhouses regulated by the </w:t>
      </w:r>
      <w:r w:rsidRPr="001B74F4">
        <w:rPr>
          <w:rFonts w:ascii="Garamond" w:eastAsia="Times New Roman" w:hAnsi="Garamond" w:cs="Calibri"/>
          <w:i/>
          <w:iCs/>
          <w:color w:val="000000"/>
          <w:szCs w:val="22"/>
        </w:rPr>
        <w:t>Florida Building Code, Residential,</w:t>
      </w:r>
      <w:r w:rsidRPr="001B74F4">
        <w:rPr>
          <w:rFonts w:ascii="Garamond" w:eastAsia="Times New Roman" w:hAnsi="Garamond" w:cs="Calibri"/>
          <w:color w:val="000000"/>
          <w:szCs w:val="22"/>
        </w:rPr>
        <w:t> window opening control devices </w:t>
      </w:r>
      <w:r w:rsidRPr="001B74F4">
        <w:rPr>
          <w:rFonts w:ascii="Garamond" w:eastAsia="Times New Roman" w:hAnsi="Garamond" w:cs="Calibri"/>
          <w:color w:val="000000"/>
          <w:szCs w:val="22"/>
          <w:highlight w:val="yellow"/>
          <w:u w:val="single"/>
          <w:shd w:val="clear" w:color="auto" w:fill="00FFFF"/>
        </w:rPr>
        <w:t>or other window fall prevention devices</w:t>
      </w:r>
      <w:r w:rsidRPr="001B74F4">
        <w:rPr>
          <w:rFonts w:ascii="Garamond" w:eastAsia="Times New Roman" w:hAnsi="Garamond" w:cs="Calibri"/>
          <w:color w:val="000000"/>
          <w:szCs w:val="22"/>
        </w:rPr>
        <w:t> complying with ASTM F2090 shall be installed where an existing window is replaced and where all of the following apply to the replacement window:</w:t>
      </w:r>
    </w:p>
    <w:p w14:paraId="07184682" w14:textId="77777777" w:rsidR="00EF3FC7" w:rsidRPr="001B74F4" w:rsidRDefault="00EF3FC7" w:rsidP="00EF3FC7">
      <w:pPr>
        <w:rPr>
          <w:rFonts w:ascii="Garamond" w:eastAsia="Times New Roman" w:hAnsi="Garamond" w:cs="Calibri"/>
          <w:color w:val="000000"/>
          <w:szCs w:val="22"/>
        </w:rPr>
      </w:pPr>
      <w:r w:rsidRPr="001B74F4">
        <w:rPr>
          <w:rFonts w:ascii="Garamond" w:eastAsia="Times New Roman" w:hAnsi="Garamond" w:cs="Calibri"/>
          <w:color w:val="000000"/>
          <w:szCs w:val="22"/>
        </w:rPr>
        <w:t> </w:t>
      </w:r>
    </w:p>
    <w:p w14:paraId="4955A817" w14:textId="77777777" w:rsidR="00EF3FC7" w:rsidRPr="001B74F4" w:rsidRDefault="00EF3FC7" w:rsidP="00EF3FC7">
      <w:pPr>
        <w:rPr>
          <w:rFonts w:ascii="Garamond" w:eastAsia="Times New Roman" w:hAnsi="Garamond" w:cs="Calibri"/>
          <w:b/>
          <w:bCs/>
          <w:color w:val="000000"/>
          <w:szCs w:val="22"/>
        </w:rPr>
      </w:pPr>
      <w:r w:rsidRPr="001B74F4">
        <w:rPr>
          <w:rFonts w:ascii="Garamond" w:eastAsia="Times New Roman" w:hAnsi="Garamond" w:cs="Calibri"/>
          <w:b/>
          <w:bCs/>
          <w:color w:val="000000"/>
          <w:szCs w:val="22"/>
        </w:rPr>
        <w:t>Reasoning:</w:t>
      </w:r>
    </w:p>
    <w:p w14:paraId="761E6367" w14:textId="77777777" w:rsidR="00EF3FC7" w:rsidRPr="001B74F4" w:rsidRDefault="00EF3FC7" w:rsidP="00EF3FC7">
      <w:pPr>
        <w:rPr>
          <w:rFonts w:ascii="Garamond" w:eastAsia="Times New Roman" w:hAnsi="Garamond" w:cs="Calibri"/>
          <w:b/>
          <w:bCs/>
          <w:color w:val="000000"/>
          <w:szCs w:val="22"/>
        </w:rPr>
      </w:pPr>
    </w:p>
    <w:p w14:paraId="06D85996" w14:textId="77777777" w:rsidR="00EF3FC7" w:rsidRPr="001B74F4" w:rsidRDefault="00EF3FC7" w:rsidP="00EF3FC7">
      <w:pPr>
        <w:rPr>
          <w:rFonts w:ascii="Garamond" w:eastAsia="Times New Roman" w:hAnsi="Garamond" w:cs="Calibri"/>
          <w:color w:val="000000"/>
          <w:szCs w:val="22"/>
        </w:rPr>
      </w:pPr>
      <w:r w:rsidRPr="001B74F4">
        <w:rPr>
          <w:rFonts w:ascii="Garamond" w:eastAsia="Times New Roman" w:hAnsi="Garamond" w:cs="Calibri"/>
          <w:color w:val="000000"/>
          <w:szCs w:val="22"/>
        </w:rPr>
        <w:t>The current supplement to the 2020 Florida Existing Building Code has a discrepancy in that 702.4 does not include the words “fall prevention devices” but 505.2 does. Both sections are about fall prevention, and window opening control devices (WOCDs) are one of several options in addressing fall prevention. Therefore, in addition to ensuring the wording in both sections align, we are suggesting the titles of sections 505.2 and 702.4 be updated to more accurately reflect that these sections are addressing fall prevention in replacement windows and not just specifically WOCDs. Then within the body of each section the comment clarifies that WOCDs or other type of fall prevention devices complying with ASTM F2090 must be installed during replacement when all the following existing code language applies.</w:t>
      </w:r>
    </w:p>
    <w:p w14:paraId="34F18A03" w14:textId="77777777" w:rsidR="00EF3FC7" w:rsidRPr="001B74F4" w:rsidRDefault="00EF3FC7" w:rsidP="00EF3FC7">
      <w:pPr>
        <w:rPr>
          <w:rFonts w:ascii="Garamond" w:eastAsia="Times New Roman" w:hAnsi="Garamond" w:cs="Calibri"/>
          <w:color w:val="000000"/>
          <w:szCs w:val="22"/>
        </w:rPr>
      </w:pPr>
    </w:p>
    <w:p w14:paraId="3148699C" w14:textId="77777777" w:rsidR="00EF3FC7" w:rsidRPr="001B74F4" w:rsidRDefault="00EF3FC7" w:rsidP="00EF3FC7">
      <w:pPr>
        <w:rPr>
          <w:rFonts w:ascii="Garamond" w:eastAsia="Times New Roman" w:hAnsi="Garamond" w:cs="Calibri"/>
          <w:color w:val="000000"/>
          <w:szCs w:val="22"/>
        </w:rPr>
      </w:pPr>
      <w:r w:rsidRPr="001B74F4">
        <w:rPr>
          <w:rFonts w:ascii="Garamond" w:eastAsia="Times New Roman" w:hAnsi="Garamond" w:cs="Calibri"/>
          <w:color w:val="000000"/>
          <w:szCs w:val="22"/>
        </w:rPr>
        <w:t>Nothing in this comment changes the current requirements but simply provides clarity and consistency, a similar proposal was adopted by the ICC for what will be in the 2024 IEBC (EB74-22) and FGIA believes these same fixes would be of benefit in the Florida Existing Building Code.  In addition, this language aligns with the following modifications already adopted by the Commission in the current code development cycle:</w:t>
      </w:r>
    </w:p>
    <w:p w14:paraId="42085B51" w14:textId="77777777" w:rsidR="00EF3FC7" w:rsidRPr="001B74F4" w:rsidRDefault="00EF3FC7" w:rsidP="00EF3FC7">
      <w:pPr>
        <w:rPr>
          <w:rFonts w:ascii="Garamond" w:eastAsia="Times New Roman" w:hAnsi="Garamond" w:cstheme="minorHAnsi"/>
          <w:color w:val="000000"/>
          <w:szCs w:val="22"/>
        </w:rPr>
      </w:pPr>
    </w:p>
    <w:p w14:paraId="55A3FD81" w14:textId="77777777" w:rsidR="00EF3FC7" w:rsidRPr="001B74F4" w:rsidRDefault="00EF3FC7" w:rsidP="00EF3FC7">
      <w:pPr>
        <w:shd w:val="clear" w:color="auto" w:fill="FFFFFF"/>
        <w:rPr>
          <w:rFonts w:ascii="Garamond" w:eastAsiaTheme="minorHAnsi" w:hAnsi="Garamond" w:cstheme="minorHAnsi"/>
          <w:color w:val="000000"/>
          <w:szCs w:val="22"/>
        </w:rPr>
      </w:pPr>
      <w:r w:rsidRPr="001B74F4">
        <w:rPr>
          <w:rFonts w:ascii="Garamond" w:eastAsia="Times New Roman" w:hAnsi="Garamond" w:cstheme="minorHAnsi"/>
          <w:color w:val="000000"/>
          <w:szCs w:val="22"/>
        </w:rPr>
        <w:t>F10414 – AS</w:t>
      </w:r>
    </w:p>
    <w:p w14:paraId="0F4117DB" w14:textId="77777777" w:rsidR="00EF3FC7" w:rsidRPr="001B74F4" w:rsidRDefault="00EF3FC7" w:rsidP="00EF3FC7">
      <w:pPr>
        <w:pStyle w:val="ListParagraph"/>
        <w:shd w:val="clear" w:color="auto" w:fill="FFFFFF"/>
        <w:rPr>
          <w:rFonts w:cstheme="minorHAnsi"/>
          <w:b/>
          <w:bCs/>
          <w:color w:val="000000"/>
          <w:sz w:val="22"/>
          <w:szCs w:val="22"/>
        </w:rPr>
      </w:pPr>
      <w:r w:rsidRPr="001B74F4">
        <w:rPr>
          <w:rFonts w:cstheme="minorHAnsi"/>
          <w:b/>
          <w:bCs/>
          <w:color w:val="000000"/>
          <w:sz w:val="22"/>
          <w:szCs w:val="22"/>
        </w:rPr>
        <w:t>R310.1.1 Operational constraints and opening control devices.</w:t>
      </w:r>
    </w:p>
    <w:p w14:paraId="4F3CE5CE" w14:textId="77777777" w:rsidR="00EF3FC7" w:rsidRPr="001B74F4" w:rsidRDefault="00EF3FC7" w:rsidP="00EF3FC7">
      <w:pPr>
        <w:pStyle w:val="ListParagraph"/>
        <w:shd w:val="clear" w:color="auto" w:fill="FFFFFF"/>
        <w:rPr>
          <w:rFonts w:cstheme="minorHAnsi"/>
          <w:color w:val="000000"/>
          <w:sz w:val="22"/>
          <w:szCs w:val="22"/>
          <w:shd w:val="clear" w:color="auto" w:fill="FFFFFF"/>
        </w:rPr>
      </w:pPr>
      <w:r w:rsidRPr="001B74F4">
        <w:rPr>
          <w:rFonts w:cstheme="minorHAnsi"/>
          <w:color w:val="000000"/>
          <w:sz w:val="22"/>
          <w:szCs w:val="22"/>
          <w:shd w:val="clear" w:color="auto" w:fill="FFFFFF"/>
        </w:rPr>
        <w:lastRenderedPageBreak/>
        <w:t>Emergency escape and rescue openings shall be operational from the inside of the room without the use of keys, tools or special knowledge. Window opening control devices </w:t>
      </w:r>
      <w:r w:rsidRPr="001B74F4">
        <w:rPr>
          <w:rFonts w:cstheme="minorHAnsi"/>
          <w:color w:val="FF0000"/>
          <w:sz w:val="22"/>
          <w:szCs w:val="22"/>
          <w:highlight w:val="yellow"/>
          <w:u w:val="single"/>
          <w:shd w:val="clear" w:color="auto" w:fill="FFFFFF"/>
        </w:rPr>
        <w:t>and fall prevention devices</w:t>
      </w:r>
      <w:r w:rsidRPr="001B74F4">
        <w:rPr>
          <w:rFonts w:cstheme="minorHAnsi"/>
          <w:color w:val="FF0000"/>
          <w:sz w:val="22"/>
          <w:szCs w:val="22"/>
          <w:u w:val="single"/>
          <w:shd w:val="clear" w:color="auto" w:fill="FFFFFF"/>
        </w:rPr>
        <w:t> </w:t>
      </w:r>
      <w:r w:rsidRPr="001B74F4">
        <w:rPr>
          <w:rFonts w:cstheme="minorHAnsi"/>
          <w:color w:val="000000"/>
          <w:sz w:val="22"/>
          <w:szCs w:val="22"/>
          <w:shd w:val="clear" w:color="auto" w:fill="FFFFFF"/>
        </w:rPr>
        <w:t>complying with ASTM F2090 shall be permitted for use on windows serving as a required emergency escape and rescue opening.</w:t>
      </w:r>
    </w:p>
    <w:p w14:paraId="6E48E0FB" w14:textId="77777777" w:rsidR="00EF3FC7" w:rsidRPr="001B74F4" w:rsidRDefault="00EF3FC7" w:rsidP="00EF3FC7">
      <w:pPr>
        <w:pStyle w:val="ListParagraph"/>
        <w:shd w:val="clear" w:color="auto" w:fill="FFFFFF"/>
        <w:rPr>
          <w:rFonts w:cstheme="minorHAnsi"/>
          <w:color w:val="000000"/>
          <w:sz w:val="22"/>
          <w:szCs w:val="22"/>
        </w:rPr>
      </w:pPr>
    </w:p>
    <w:p w14:paraId="7CEBF285" w14:textId="77777777" w:rsidR="00EF3FC7" w:rsidRPr="001B74F4" w:rsidRDefault="00EF3FC7" w:rsidP="00EF3FC7">
      <w:pPr>
        <w:rPr>
          <w:rFonts w:ascii="Garamond" w:eastAsia="Times New Roman" w:hAnsi="Garamond" w:cstheme="minorHAnsi"/>
          <w:color w:val="000000"/>
          <w:szCs w:val="22"/>
        </w:rPr>
      </w:pPr>
      <w:r w:rsidRPr="001B74F4">
        <w:rPr>
          <w:rFonts w:ascii="Garamond" w:eastAsia="Times New Roman" w:hAnsi="Garamond" w:cstheme="minorHAnsi"/>
          <w:color w:val="000000"/>
          <w:szCs w:val="22"/>
        </w:rPr>
        <w:t>S10428 – AS</w:t>
      </w:r>
    </w:p>
    <w:p w14:paraId="02C3C38B" w14:textId="77777777" w:rsidR="00EF3FC7" w:rsidRPr="001B74F4" w:rsidRDefault="00EF3FC7" w:rsidP="00EF3FC7">
      <w:pPr>
        <w:pStyle w:val="ListParagraph"/>
        <w:shd w:val="clear" w:color="auto" w:fill="FFFFFF"/>
        <w:rPr>
          <w:rFonts w:eastAsiaTheme="minorHAnsi" w:cstheme="minorHAnsi"/>
          <w:color w:val="000000"/>
          <w:sz w:val="22"/>
          <w:szCs w:val="22"/>
        </w:rPr>
      </w:pPr>
      <w:r w:rsidRPr="001B74F4">
        <w:rPr>
          <w:rFonts w:cstheme="minorHAnsi"/>
          <w:b/>
          <w:bCs/>
          <w:color w:val="000000"/>
          <w:sz w:val="22"/>
          <w:szCs w:val="22"/>
        </w:rPr>
        <w:t>AJ102.4.3 </w:t>
      </w:r>
      <w:r w:rsidRPr="001B74F4">
        <w:rPr>
          <w:rFonts w:cstheme="minorHAnsi"/>
          <w:b/>
          <w:bCs/>
          <w:color w:val="FF0000"/>
          <w:sz w:val="22"/>
          <w:szCs w:val="22"/>
          <w:u w:val="single"/>
        </w:rPr>
        <w:t>Replacement windows for e</w:t>
      </w:r>
      <w:r w:rsidRPr="001B74F4">
        <w:rPr>
          <w:rFonts w:cstheme="minorHAnsi"/>
          <w:b/>
          <w:bCs/>
          <w:strike/>
          <w:color w:val="FF0000"/>
          <w:sz w:val="22"/>
          <w:szCs w:val="22"/>
        </w:rPr>
        <w:t>E</w:t>
      </w:r>
      <w:r w:rsidRPr="001B74F4">
        <w:rPr>
          <w:rFonts w:cstheme="minorHAnsi"/>
          <w:b/>
          <w:bCs/>
          <w:color w:val="000000"/>
          <w:sz w:val="22"/>
          <w:szCs w:val="22"/>
        </w:rPr>
        <w:t>mergency escape and rescue openings.</w:t>
      </w:r>
    </w:p>
    <w:p w14:paraId="2B315C47" w14:textId="77777777" w:rsidR="00EF3FC7" w:rsidRPr="001B74F4" w:rsidRDefault="00EF3FC7" w:rsidP="00EF3FC7">
      <w:pPr>
        <w:pStyle w:val="ListParagraph"/>
        <w:shd w:val="clear" w:color="auto" w:fill="FFFFFF"/>
        <w:spacing w:after="120"/>
        <w:jc w:val="both"/>
        <w:rPr>
          <w:rFonts w:cstheme="minorHAnsi"/>
          <w:color w:val="000000"/>
          <w:sz w:val="22"/>
          <w:szCs w:val="22"/>
        </w:rPr>
      </w:pPr>
      <w:r w:rsidRPr="001B74F4">
        <w:rPr>
          <w:rFonts w:cstheme="minorHAnsi"/>
          <w:color w:val="000000"/>
          <w:sz w:val="22"/>
          <w:szCs w:val="22"/>
        </w:rPr>
        <w:t>Where windows are required to provide emergency escape and rescue openings, replacement windows shall be exempt from </w:t>
      </w:r>
      <w:r w:rsidRPr="001B74F4">
        <w:rPr>
          <w:rFonts w:cstheme="minorHAnsi"/>
          <w:strike/>
          <w:color w:val="FF0000"/>
          <w:sz w:val="22"/>
          <w:szCs w:val="22"/>
        </w:rPr>
        <w:t>the maximum sill height requirements of Section R310.1 and the requirements of</w:t>
      </w:r>
      <w:r w:rsidRPr="001B74F4">
        <w:rPr>
          <w:rFonts w:cstheme="minorHAnsi"/>
          <w:color w:val="000000"/>
          <w:sz w:val="22"/>
          <w:szCs w:val="22"/>
        </w:rPr>
        <w:t> </w:t>
      </w:r>
      <w:r w:rsidRPr="001B74F4">
        <w:rPr>
          <w:rFonts w:cstheme="minorHAnsi"/>
          <w:color w:val="FF0000"/>
          <w:sz w:val="22"/>
          <w:szCs w:val="22"/>
        </w:rPr>
        <w:t>Sections </w:t>
      </w:r>
      <w:r w:rsidRPr="001B74F4">
        <w:rPr>
          <w:rFonts w:cstheme="minorHAnsi"/>
          <w:strike/>
          <w:color w:val="FF0000"/>
          <w:sz w:val="22"/>
          <w:szCs w:val="22"/>
        </w:rPr>
        <w:t>R310.1.1, R310.1.2, R310.1.3 and</w:t>
      </w:r>
      <w:r w:rsidRPr="001B74F4">
        <w:rPr>
          <w:rFonts w:cstheme="minorHAnsi"/>
          <w:color w:val="FF0000"/>
          <w:sz w:val="22"/>
          <w:szCs w:val="22"/>
        </w:rPr>
        <w:t> R310.2</w:t>
      </w:r>
      <w:r w:rsidRPr="001B74F4">
        <w:rPr>
          <w:rFonts w:cstheme="minorHAnsi"/>
          <w:color w:val="FF0000"/>
          <w:sz w:val="22"/>
          <w:szCs w:val="22"/>
          <w:u w:val="single"/>
        </w:rPr>
        <w:t>.1 and R310.2.2 </w:t>
      </w:r>
      <w:r w:rsidRPr="001B74F4">
        <w:rPr>
          <w:rFonts w:cstheme="minorHAnsi"/>
          <w:color w:val="000000"/>
          <w:sz w:val="22"/>
          <w:szCs w:val="22"/>
        </w:rPr>
        <w:t>provided that the replacement window meets the following conditions:</w:t>
      </w:r>
    </w:p>
    <w:p w14:paraId="1FADCCCA" w14:textId="77777777" w:rsidR="00EF3FC7" w:rsidRPr="001B74F4" w:rsidRDefault="00EF3FC7" w:rsidP="00EF3FC7">
      <w:pPr>
        <w:pStyle w:val="ListParagraph"/>
        <w:numPr>
          <w:ilvl w:val="0"/>
          <w:numId w:val="5"/>
        </w:numPr>
        <w:shd w:val="clear" w:color="auto" w:fill="FFFFFF"/>
        <w:spacing w:after="120"/>
        <w:jc w:val="both"/>
        <w:rPr>
          <w:rFonts w:cstheme="minorHAnsi"/>
          <w:color w:val="000000"/>
          <w:sz w:val="22"/>
          <w:szCs w:val="22"/>
        </w:rPr>
      </w:pPr>
      <w:r w:rsidRPr="001B74F4">
        <w:rPr>
          <w:rFonts w:cstheme="minorHAnsi"/>
          <w:color w:val="000000"/>
          <w:sz w:val="22"/>
          <w:szCs w:val="22"/>
        </w:rPr>
        <w:t>The replacement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14:paraId="69962651" w14:textId="77777777" w:rsidR="00EF3FC7" w:rsidRPr="001B74F4" w:rsidRDefault="00EF3FC7" w:rsidP="00EF3FC7">
      <w:pPr>
        <w:pStyle w:val="ListParagraph"/>
        <w:numPr>
          <w:ilvl w:val="0"/>
          <w:numId w:val="5"/>
        </w:numPr>
        <w:shd w:val="clear" w:color="auto" w:fill="FFFFFF"/>
        <w:spacing w:after="120"/>
        <w:jc w:val="both"/>
        <w:rPr>
          <w:rFonts w:cstheme="minorHAnsi"/>
          <w:color w:val="000000"/>
          <w:sz w:val="22"/>
          <w:szCs w:val="22"/>
        </w:rPr>
      </w:pPr>
      <w:r w:rsidRPr="001B74F4">
        <w:rPr>
          <w:rFonts w:cstheme="minorHAnsi"/>
          <w:color w:val="FF0000"/>
          <w:sz w:val="22"/>
          <w:szCs w:val="22"/>
          <w:u w:val="single"/>
        </w:rPr>
        <w:t>Where t</w:t>
      </w:r>
      <w:r w:rsidRPr="001B74F4">
        <w:rPr>
          <w:rFonts w:cstheme="minorHAnsi"/>
          <w:strike/>
          <w:color w:val="FF0000"/>
          <w:sz w:val="22"/>
          <w:szCs w:val="22"/>
        </w:rPr>
        <w:t>T</w:t>
      </w:r>
      <w:r w:rsidRPr="001B74F4">
        <w:rPr>
          <w:rFonts w:cstheme="minorHAnsi"/>
          <w:color w:val="000000"/>
          <w:sz w:val="22"/>
          <w:szCs w:val="22"/>
        </w:rPr>
        <w:t>he replacement window is not part of a change of occupancy.</w:t>
      </w:r>
    </w:p>
    <w:p w14:paraId="4048CF76" w14:textId="77777777" w:rsidR="00EF3FC7" w:rsidRPr="001B74F4" w:rsidRDefault="00EF3FC7" w:rsidP="00EF3FC7">
      <w:pPr>
        <w:shd w:val="clear" w:color="auto" w:fill="FFFFFF"/>
        <w:ind w:left="720"/>
        <w:jc w:val="both"/>
        <w:rPr>
          <w:rFonts w:ascii="Garamond" w:hAnsi="Garamond" w:cstheme="minorHAnsi"/>
          <w:color w:val="000000"/>
          <w:szCs w:val="22"/>
        </w:rPr>
      </w:pPr>
      <w:r w:rsidRPr="001B74F4">
        <w:rPr>
          <w:rFonts w:ascii="Garamond" w:hAnsi="Garamond" w:cstheme="minorHAnsi"/>
          <w:b/>
          <w:bCs/>
          <w:strike/>
          <w:color w:val="FF0000"/>
          <w:szCs w:val="22"/>
        </w:rPr>
        <w:t>3.</w:t>
      </w:r>
      <w:r w:rsidRPr="001B74F4">
        <w:rPr>
          <w:rFonts w:ascii="Garamond" w:hAnsi="Garamond" w:cstheme="minorHAnsi"/>
          <w:color w:val="000000"/>
          <w:szCs w:val="22"/>
        </w:rPr>
        <w:t>Window opening control devices </w:t>
      </w:r>
      <w:r w:rsidRPr="001B74F4">
        <w:rPr>
          <w:rFonts w:ascii="Garamond" w:hAnsi="Garamond" w:cstheme="minorHAnsi"/>
          <w:color w:val="FF0000"/>
          <w:szCs w:val="22"/>
          <w:highlight w:val="yellow"/>
          <w:u w:val="single"/>
        </w:rPr>
        <w:t>and fall prevention devices</w:t>
      </w:r>
      <w:r w:rsidRPr="001B74F4">
        <w:rPr>
          <w:rFonts w:ascii="Garamond" w:hAnsi="Garamond" w:cstheme="minorHAnsi"/>
          <w:color w:val="000000"/>
          <w:szCs w:val="22"/>
        </w:rPr>
        <w:t> complying with ASTM F2090 shall be permitted for use on windows </w:t>
      </w:r>
      <w:r w:rsidRPr="001B74F4">
        <w:rPr>
          <w:rFonts w:ascii="Garamond" w:hAnsi="Garamond" w:cstheme="minorHAnsi"/>
          <w:color w:val="FF0000"/>
          <w:szCs w:val="22"/>
          <w:u w:val="single"/>
        </w:rPr>
        <w:t>serving as</w:t>
      </w:r>
      <w:r w:rsidRPr="001B74F4">
        <w:rPr>
          <w:rFonts w:ascii="Garamond" w:hAnsi="Garamond" w:cstheme="minorHAnsi"/>
          <w:color w:val="000000"/>
          <w:szCs w:val="22"/>
        </w:rPr>
        <w:t> required </w:t>
      </w:r>
      <w:r w:rsidRPr="001B74F4">
        <w:rPr>
          <w:rFonts w:ascii="Garamond" w:hAnsi="Garamond" w:cstheme="minorHAnsi"/>
          <w:strike/>
          <w:color w:val="FF0000"/>
          <w:szCs w:val="22"/>
        </w:rPr>
        <w:t>to provide</w:t>
      </w:r>
      <w:r w:rsidRPr="001B74F4">
        <w:rPr>
          <w:rFonts w:ascii="Garamond" w:hAnsi="Garamond" w:cstheme="minorHAnsi"/>
          <w:color w:val="000000"/>
          <w:szCs w:val="22"/>
        </w:rPr>
        <w:t> emergency escape and rescue openings.</w:t>
      </w:r>
    </w:p>
    <w:p w14:paraId="444BBA22" w14:textId="77777777" w:rsidR="00EF3FC7" w:rsidRPr="001B74F4" w:rsidRDefault="00EF3FC7" w:rsidP="00EF3FC7">
      <w:pPr>
        <w:pStyle w:val="ListParagraph"/>
        <w:shd w:val="clear" w:color="auto" w:fill="FFFFFF"/>
        <w:jc w:val="both"/>
        <w:rPr>
          <w:rFonts w:cstheme="minorHAnsi"/>
          <w:color w:val="000000"/>
          <w:sz w:val="22"/>
          <w:szCs w:val="22"/>
        </w:rPr>
      </w:pPr>
    </w:p>
    <w:p w14:paraId="28308325" w14:textId="77777777" w:rsidR="00EF3FC7" w:rsidRPr="001B74F4" w:rsidRDefault="00EF3FC7" w:rsidP="00EF3FC7">
      <w:pPr>
        <w:pStyle w:val="ListParagraph"/>
        <w:shd w:val="clear" w:color="auto" w:fill="FFFFFF"/>
        <w:jc w:val="both"/>
        <w:rPr>
          <w:rFonts w:cstheme="minorHAnsi"/>
          <w:color w:val="000000"/>
          <w:sz w:val="22"/>
          <w:szCs w:val="22"/>
        </w:rPr>
      </w:pPr>
      <w:r w:rsidRPr="001B74F4">
        <w:rPr>
          <w:rFonts w:cstheme="minorHAnsi"/>
          <w:b/>
          <w:bCs/>
          <w:color w:val="FF0000"/>
          <w:sz w:val="22"/>
          <w:szCs w:val="22"/>
          <w:u w:val="single"/>
        </w:rPr>
        <w:t>AJ102.4.3.1 Control devices</w:t>
      </w:r>
    </w:p>
    <w:p w14:paraId="6823DF48" w14:textId="77777777" w:rsidR="00EF3FC7" w:rsidRPr="001B74F4" w:rsidRDefault="00EF3FC7" w:rsidP="00EF3FC7">
      <w:pPr>
        <w:pStyle w:val="ListParagraph"/>
        <w:shd w:val="clear" w:color="auto" w:fill="FFFFFF"/>
        <w:rPr>
          <w:rFonts w:cstheme="minorHAnsi"/>
          <w:color w:val="000000"/>
          <w:sz w:val="22"/>
          <w:szCs w:val="22"/>
        </w:rPr>
      </w:pPr>
      <w:r w:rsidRPr="001B74F4">
        <w:rPr>
          <w:rFonts w:cstheme="minorHAnsi"/>
          <w:color w:val="FF0000"/>
          <w:sz w:val="22"/>
          <w:szCs w:val="22"/>
          <w:u w:val="single"/>
        </w:rPr>
        <w:t xml:space="preserve">Emergency escape and rescue openings with </w:t>
      </w:r>
      <w:r w:rsidRPr="001B74F4">
        <w:rPr>
          <w:rFonts w:cstheme="minorHAnsi"/>
          <w:color w:val="FF0000"/>
          <w:sz w:val="22"/>
          <w:szCs w:val="22"/>
          <w:highlight w:val="yellow"/>
          <w:u w:val="single"/>
        </w:rPr>
        <w:t>window opening control devices or fall prevention devices</w:t>
      </w:r>
      <w:r w:rsidRPr="001B74F4">
        <w:rPr>
          <w:rFonts w:cstheme="minorHAnsi"/>
          <w:color w:val="FF0000"/>
          <w:sz w:val="22"/>
          <w:szCs w:val="22"/>
          <w:u w:val="single"/>
        </w:rPr>
        <w:t xml:space="preserve"> complying with ASTM F2090, after operation to release the control device allowing the window to fully open, shall not reduce the net clear opening area of the window unit. Emergency escape and rescue openings shall be operational from the inside of the room without the use of keys or tools.</w:t>
      </w:r>
    </w:p>
    <w:p w14:paraId="4339B9E1" w14:textId="77777777" w:rsidR="00EF3FC7" w:rsidRPr="001B74F4" w:rsidRDefault="00EF3FC7" w:rsidP="00EF3FC7">
      <w:pPr>
        <w:shd w:val="clear" w:color="auto" w:fill="FFFFFF"/>
        <w:rPr>
          <w:rFonts w:ascii="Garamond" w:hAnsi="Garamond" w:cstheme="minorHAnsi"/>
          <w:color w:val="000000"/>
          <w:szCs w:val="22"/>
        </w:rPr>
      </w:pPr>
    </w:p>
    <w:p w14:paraId="189CB5B9" w14:textId="77777777" w:rsidR="00EF3FC7" w:rsidRPr="001B74F4" w:rsidRDefault="00EF3FC7" w:rsidP="00EF3FC7">
      <w:pPr>
        <w:pStyle w:val="ListParagraph"/>
        <w:shd w:val="clear" w:color="auto" w:fill="FFFFFF"/>
        <w:rPr>
          <w:rFonts w:cstheme="minorHAnsi"/>
          <w:b/>
          <w:bCs/>
          <w:color w:val="000000"/>
          <w:sz w:val="22"/>
          <w:szCs w:val="22"/>
        </w:rPr>
      </w:pPr>
      <w:r w:rsidRPr="001B74F4">
        <w:rPr>
          <w:rFonts w:cstheme="minorHAnsi"/>
          <w:b/>
          <w:bCs/>
          <w:color w:val="000000"/>
          <w:sz w:val="22"/>
          <w:szCs w:val="22"/>
        </w:rPr>
        <w:t>AJ102.4.4 Window control devices.</w:t>
      </w:r>
    </w:p>
    <w:p w14:paraId="4EF42A89" w14:textId="77777777" w:rsidR="00EF3FC7" w:rsidRPr="001B74F4" w:rsidRDefault="00EF3FC7" w:rsidP="00EF3FC7">
      <w:pPr>
        <w:pStyle w:val="ListParagraph"/>
        <w:shd w:val="clear" w:color="auto" w:fill="FFFFFF"/>
        <w:spacing w:after="120"/>
        <w:jc w:val="both"/>
        <w:rPr>
          <w:rFonts w:cstheme="minorHAnsi"/>
          <w:color w:val="000000"/>
          <w:sz w:val="22"/>
          <w:szCs w:val="22"/>
        </w:rPr>
      </w:pPr>
      <w:r w:rsidRPr="001B74F4">
        <w:rPr>
          <w:rFonts w:cstheme="minorHAnsi"/>
          <w:strike/>
          <w:color w:val="FF0000"/>
          <w:sz w:val="22"/>
          <w:szCs w:val="22"/>
        </w:rPr>
        <w:t>Where window fall prevention devices complying with ASTM F2090 are not provided,</w:t>
      </w:r>
      <w:r w:rsidRPr="001B74F4">
        <w:rPr>
          <w:rFonts w:cstheme="minorHAnsi"/>
          <w:color w:val="FF0000"/>
          <w:sz w:val="22"/>
          <w:szCs w:val="22"/>
          <w:u w:val="single"/>
        </w:rPr>
        <w:t>W</w:t>
      </w:r>
      <w:r w:rsidRPr="001B74F4">
        <w:rPr>
          <w:rFonts w:cstheme="minorHAnsi"/>
          <w:strike/>
          <w:color w:val="FF0000"/>
          <w:sz w:val="22"/>
          <w:szCs w:val="22"/>
        </w:rPr>
        <w:t>w</w:t>
      </w:r>
      <w:r w:rsidRPr="001B74F4">
        <w:rPr>
          <w:rFonts w:cstheme="minorHAnsi"/>
          <w:color w:val="000000"/>
          <w:sz w:val="22"/>
          <w:szCs w:val="22"/>
        </w:rPr>
        <w:t>indow opening control devices </w:t>
      </w:r>
      <w:r w:rsidRPr="001B74F4">
        <w:rPr>
          <w:rFonts w:cstheme="minorHAnsi"/>
          <w:color w:val="FF0000"/>
          <w:sz w:val="22"/>
          <w:szCs w:val="22"/>
          <w:highlight w:val="yellow"/>
          <w:u w:val="single"/>
        </w:rPr>
        <w:t>or fall prevention devices</w:t>
      </w:r>
      <w:r w:rsidRPr="001B74F4">
        <w:rPr>
          <w:rFonts w:cstheme="minorHAnsi"/>
          <w:color w:val="000000"/>
          <w:sz w:val="22"/>
          <w:szCs w:val="22"/>
        </w:rPr>
        <w:t> complying with ASTM F2090 shall be installed where an existing window is replaced and where all of the following apply to the replacement window:</w:t>
      </w:r>
    </w:p>
    <w:p w14:paraId="0810A9AE" w14:textId="77777777" w:rsidR="00EF3FC7" w:rsidRPr="001B74F4" w:rsidRDefault="00EF3FC7" w:rsidP="00EF3FC7">
      <w:pPr>
        <w:ind w:left="720"/>
        <w:rPr>
          <w:rFonts w:ascii="Garamond" w:eastAsia="Times New Roman" w:hAnsi="Garamond" w:cstheme="minorHAnsi"/>
          <w:color w:val="000000"/>
          <w:szCs w:val="22"/>
        </w:rPr>
      </w:pPr>
    </w:p>
    <w:p w14:paraId="024A3EDF" w14:textId="77777777" w:rsidR="00EF3FC7" w:rsidRPr="001B74F4" w:rsidRDefault="00EF3FC7" w:rsidP="00EF3FC7">
      <w:pPr>
        <w:rPr>
          <w:rFonts w:ascii="Garamond" w:eastAsia="Times New Roman" w:hAnsi="Garamond" w:cstheme="minorHAnsi"/>
          <w:color w:val="000000"/>
          <w:szCs w:val="22"/>
        </w:rPr>
      </w:pPr>
      <w:r w:rsidRPr="001B74F4">
        <w:rPr>
          <w:rFonts w:ascii="Garamond" w:eastAsia="Times New Roman" w:hAnsi="Garamond" w:cstheme="minorHAnsi"/>
          <w:color w:val="000000"/>
          <w:szCs w:val="22"/>
        </w:rPr>
        <w:t>F10415 – AS</w:t>
      </w:r>
    </w:p>
    <w:p w14:paraId="755AAF80" w14:textId="77777777" w:rsidR="00EF3FC7" w:rsidRPr="001B74F4" w:rsidRDefault="00EF3FC7" w:rsidP="00EF3FC7">
      <w:pPr>
        <w:pStyle w:val="ListParagraph"/>
        <w:numPr>
          <w:ilvl w:val="1"/>
          <w:numId w:val="6"/>
        </w:numPr>
        <w:shd w:val="clear" w:color="auto" w:fill="FFFFFF"/>
        <w:spacing w:after="0"/>
        <w:rPr>
          <w:rFonts w:eastAsia="Times New Roman" w:cstheme="minorHAnsi"/>
          <w:color w:val="000000"/>
          <w:sz w:val="22"/>
          <w:szCs w:val="22"/>
        </w:rPr>
      </w:pPr>
      <w:r w:rsidRPr="001B74F4">
        <w:rPr>
          <w:rFonts w:eastAsia="Times New Roman" w:cstheme="minorHAnsi"/>
          <w:b/>
          <w:bCs/>
          <w:color w:val="000000"/>
          <w:sz w:val="22"/>
          <w:szCs w:val="22"/>
        </w:rPr>
        <w:t>Operational constraints.</w:t>
      </w:r>
    </w:p>
    <w:p w14:paraId="330BAE13" w14:textId="77777777" w:rsidR="00EF3FC7" w:rsidRPr="001B74F4" w:rsidRDefault="00EF3FC7" w:rsidP="00EF3FC7">
      <w:pPr>
        <w:shd w:val="clear" w:color="auto" w:fill="FFFFFF"/>
        <w:ind w:left="720"/>
        <w:rPr>
          <w:rFonts w:ascii="Garamond" w:eastAsia="Times New Roman" w:hAnsi="Garamond" w:cstheme="minorHAnsi"/>
          <w:color w:val="000000"/>
          <w:szCs w:val="22"/>
        </w:rPr>
      </w:pPr>
      <w:r w:rsidRPr="001B74F4">
        <w:rPr>
          <w:rFonts w:ascii="Garamond" w:eastAsia="Times New Roman" w:hAnsi="Garamond" w:cstheme="minorHAnsi"/>
          <w:i/>
          <w:iCs/>
          <w:color w:val="000000"/>
          <w:szCs w:val="22"/>
          <w:shd w:val="clear" w:color="auto" w:fill="FFFFFF"/>
        </w:rPr>
        <w:t>Emergency escape and rescue openings</w:t>
      </w:r>
      <w:r w:rsidRPr="001B74F4">
        <w:rPr>
          <w:rFonts w:ascii="Garamond" w:eastAsia="Times New Roman" w:hAnsi="Garamond" w:cstheme="minorHAnsi"/>
          <w:color w:val="000000"/>
          <w:szCs w:val="22"/>
          <w:shd w:val="clear" w:color="auto" w:fill="FFFFFF"/>
        </w:rPr>
        <w:t> shall be operational from the inside of the room without the use of keys or tools. </w:t>
      </w:r>
      <w:r w:rsidRPr="001B74F4">
        <w:rPr>
          <w:rFonts w:ascii="Garamond" w:eastAsia="Times New Roman" w:hAnsi="Garamond" w:cstheme="minorHAnsi"/>
          <w:color w:val="FF0000"/>
          <w:szCs w:val="22"/>
          <w:highlight w:val="yellow"/>
          <w:u w:val="single"/>
          <w:shd w:val="clear" w:color="auto" w:fill="FFFFFF"/>
        </w:rPr>
        <w:t>Window-opening control devices and fall prevention devices</w:t>
      </w:r>
      <w:r w:rsidRPr="001B74F4">
        <w:rPr>
          <w:rFonts w:ascii="Garamond" w:eastAsia="Times New Roman" w:hAnsi="Garamond" w:cstheme="minorHAnsi"/>
          <w:color w:val="FF0000"/>
          <w:szCs w:val="22"/>
          <w:u w:val="single"/>
          <w:shd w:val="clear" w:color="auto" w:fill="FFFFFF"/>
        </w:rPr>
        <w:t xml:space="preserve"> complying with ASTM F2090 shall be permitted for use on windows serving as a required </w:t>
      </w:r>
      <w:r w:rsidRPr="001B74F4">
        <w:rPr>
          <w:rFonts w:ascii="Garamond" w:eastAsia="Times New Roman" w:hAnsi="Garamond" w:cstheme="minorHAnsi"/>
          <w:i/>
          <w:iCs/>
          <w:color w:val="FF0000"/>
          <w:szCs w:val="22"/>
          <w:shd w:val="clear" w:color="auto" w:fill="FFFFFF"/>
        </w:rPr>
        <w:t>emergency escape and rescue opening</w:t>
      </w:r>
      <w:r w:rsidRPr="001B74F4">
        <w:rPr>
          <w:rFonts w:ascii="Garamond" w:eastAsia="Times New Roman" w:hAnsi="Garamond" w:cstheme="minorHAnsi"/>
          <w:color w:val="FF0000"/>
          <w:szCs w:val="22"/>
          <w:u w:val="single"/>
          <w:shd w:val="clear" w:color="auto" w:fill="FFFFFF"/>
        </w:rPr>
        <w:t>.</w:t>
      </w:r>
      <w:r w:rsidRPr="001B74F4">
        <w:rPr>
          <w:rFonts w:ascii="Garamond" w:eastAsia="Times New Roman" w:hAnsi="Garamond" w:cstheme="minorHAnsi"/>
          <w:color w:val="FF0000"/>
          <w:szCs w:val="22"/>
          <w:shd w:val="clear" w:color="auto" w:fill="FFFFFF"/>
        </w:rPr>
        <w:t> </w:t>
      </w:r>
      <w:r w:rsidRPr="001B74F4">
        <w:rPr>
          <w:rFonts w:ascii="Garamond" w:eastAsia="Times New Roman" w:hAnsi="Garamond" w:cstheme="minorHAnsi"/>
          <w:color w:val="000000"/>
          <w:szCs w:val="22"/>
          <w:shd w:val="clear" w:color="auto" w:fill="FFFFFF"/>
        </w:rPr>
        <w:t>Bars, grilles, grates or similar devices are permitted to be placed over </w:t>
      </w:r>
      <w:r w:rsidRPr="001B74F4">
        <w:rPr>
          <w:rFonts w:ascii="Garamond" w:eastAsia="Times New Roman" w:hAnsi="Garamond" w:cstheme="minorHAnsi"/>
          <w:i/>
          <w:iCs/>
          <w:color w:val="000000"/>
          <w:szCs w:val="22"/>
          <w:shd w:val="clear" w:color="auto" w:fill="FFFFFF"/>
        </w:rPr>
        <w:t>emergency escape and rescue openings</w:t>
      </w:r>
      <w:r w:rsidRPr="001B74F4">
        <w:rPr>
          <w:rFonts w:ascii="Garamond" w:eastAsia="Times New Roman" w:hAnsi="Garamond" w:cstheme="minorHAnsi"/>
          <w:color w:val="000000"/>
          <w:szCs w:val="22"/>
          <w:shd w:val="clear" w:color="auto" w:fill="FFFFFF"/>
        </w:rPr>
        <w:t> provided the minimum net clear opening size complies with Section 1030.2 and such devices shall be releasable or removable from the inside without the use of a key, tool or force greater than that which is required for normal operation of the </w:t>
      </w:r>
      <w:r w:rsidRPr="001B74F4">
        <w:rPr>
          <w:rFonts w:ascii="Garamond" w:eastAsia="Times New Roman" w:hAnsi="Garamond" w:cstheme="minorHAnsi"/>
          <w:i/>
          <w:iCs/>
          <w:color w:val="000000"/>
          <w:szCs w:val="22"/>
          <w:shd w:val="clear" w:color="auto" w:fill="FFFFFF"/>
        </w:rPr>
        <w:t>emergency escape and rescue opening</w:t>
      </w:r>
      <w:r w:rsidRPr="001B74F4">
        <w:rPr>
          <w:rFonts w:ascii="Garamond" w:eastAsia="Times New Roman" w:hAnsi="Garamond" w:cstheme="minorHAnsi"/>
          <w:color w:val="000000"/>
          <w:szCs w:val="22"/>
          <w:shd w:val="clear" w:color="auto" w:fill="FFFFFF"/>
        </w:rPr>
        <w:t>. Where such bars, grilles, grates or similar devices are installed in existing buildings, </w:t>
      </w:r>
      <w:r w:rsidRPr="001B74F4">
        <w:rPr>
          <w:rFonts w:ascii="Garamond" w:eastAsia="Times New Roman" w:hAnsi="Garamond" w:cstheme="minorHAnsi"/>
          <w:i/>
          <w:iCs/>
          <w:color w:val="000000"/>
          <w:szCs w:val="22"/>
          <w:shd w:val="clear" w:color="auto" w:fill="FFFFFF"/>
        </w:rPr>
        <w:t>smoke alarms</w:t>
      </w:r>
      <w:r w:rsidRPr="001B74F4">
        <w:rPr>
          <w:rFonts w:ascii="Garamond" w:eastAsia="Times New Roman" w:hAnsi="Garamond" w:cstheme="minorHAnsi"/>
          <w:color w:val="000000"/>
          <w:szCs w:val="22"/>
          <w:shd w:val="clear" w:color="auto" w:fill="FFFFFF"/>
        </w:rPr>
        <w:t> shall be installed in accordance with Section 907.2.11 regardless of the valuation of the </w:t>
      </w:r>
      <w:r w:rsidRPr="001B74F4">
        <w:rPr>
          <w:rFonts w:ascii="Garamond" w:eastAsia="Times New Roman" w:hAnsi="Garamond" w:cstheme="minorHAnsi"/>
          <w:i/>
          <w:iCs/>
          <w:color w:val="000000"/>
          <w:szCs w:val="22"/>
          <w:shd w:val="clear" w:color="auto" w:fill="FFFFFF"/>
        </w:rPr>
        <w:t>alteration</w:t>
      </w:r>
      <w:r w:rsidRPr="001B74F4">
        <w:rPr>
          <w:rFonts w:ascii="Garamond" w:eastAsia="Times New Roman" w:hAnsi="Garamond" w:cstheme="minorHAnsi"/>
          <w:color w:val="000000"/>
          <w:szCs w:val="22"/>
          <w:shd w:val="clear" w:color="auto" w:fill="FFFFFF"/>
        </w:rPr>
        <w:t>.</w:t>
      </w:r>
    </w:p>
    <w:p w14:paraId="6221E0F2" w14:textId="77777777" w:rsidR="008D169F" w:rsidRPr="001B74F4" w:rsidRDefault="008D169F" w:rsidP="008D169F">
      <w:pPr>
        <w:rPr>
          <w:rFonts w:ascii="Garamond" w:hAnsi="Garamond"/>
          <w:b/>
          <w:bCs/>
          <w:color w:val="000000"/>
          <w:sz w:val="24"/>
          <w:szCs w:val="24"/>
        </w:rPr>
      </w:pPr>
    </w:p>
    <w:p w14:paraId="78104570" w14:textId="77777777" w:rsidR="00EF3FC7" w:rsidRPr="001B74F4" w:rsidRDefault="00EF3FC7" w:rsidP="00C84F6C">
      <w:pPr>
        <w:rPr>
          <w:rFonts w:ascii="Garamond" w:hAnsi="Garamond"/>
          <w:b/>
          <w:bCs/>
          <w:color w:val="000000"/>
          <w:sz w:val="24"/>
          <w:szCs w:val="24"/>
        </w:rPr>
      </w:pPr>
    </w:p>
    <w:sectPr w:rsidR="00EF3FC7" w:rsidRPr="001B74F4" w:rsidSect="00BF574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D2D7" w14:textId="77777777" w:rsidR="001B5637" w:rsidRDefault="001B5637" w:rsidP="001165CD">
      <w:r>
        <w:separator/>
      </w:r>
    </w:p>
  </w:endnote>
  <w:endnote w:type="continuationSeparator" w:id="0">
    <w:p w14:paraId="0C83745E" w14:textId="77777777" w:rsidR="001B5637" w:rsidRDefault="001B5637" w:rsidP="001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84014"/>
      <w:docPartObj>
        <w:docPartGallery w:val="Page Numbers (Bottom of Page)"/>
        <w:docPartUnique/>
      </w:docPartObj>
    </w:sdtPr>
    <w:sdtEndPr>
      <w:rPr>
        <w:rFonts w:ascii="Garamond" w:hAnsi="Garamond"/>
        <w:noProof/>
      </w:rPr>
    </w:sdtEndPr>
    <w:sdtContent>
      <w:p w14:paraId="528FAA87" w14:textId="77777777" w:rsidR="001165CD" w:rsidRPr="00A25315" w:rsidRDefault="001165CD" w:rsidP="00A25315">
        <w:pPr>
          <w:pStyle w:val="Footer"/>
          <w:jc w:val="center"/>
          <w:rPr>
            <w:rFonts w:ascii="Garamond" w:hAnsi="Garamond"/>
          </w:rPr>
        </w:pPr>
        <w:r w:rsidRPr="00A25315">
          <w:rPr>
            <w:rFonts w:ascii="Garamond" w:hAnsi="Garamond"/>
          </w:rPr>
          <w:fldChar w:fldCharType="begin"/>
        </w:r>
        <w:r w:rsidRPr="00A25315">
          <w:rPr>
            <w:rFonts w:ascii="Garamond" w:hAnsi="Garamond"/>
          </w:rPr>
          <w:instrText xml:space="preserve"> PAGE   \* MERGEFORMAT </w:instrText>
        </w:r>
        <w:r w:rsidRPr="00A25315">
          <w:rPr>
            <w:rFonts w:ascii="Garamond" w:hAnsi="Garamond"/>
          </w:rPr>
          <w:fldChar w:fldCharType="separate"/>
        </w:r>
        <w:r w:rsidR="007D50D0">
          <w:rPr>
            <w:rFonts w:ascii="Garamond" w:hAnsi="Garamond"/>
            <w:noProof/>
          </w:rPr>
          <w:t>4</w:t>
        </w:r>
        <w:r w:rsidRPr="00A25315">
          <w:rPr>
            <w:rFonts w:ascii="Garamond" w:hAnsi="Garamond"/>
            <w:noProof/>
          </w:rPr>
          <w:fldChar w:fldCharType="end"/>
        </w:r>
      </w:p>
    </w:sdtContent>
  </w:sdt>
  <w:p w14:paraId="6C8DD143" w14:textId="77777777" w:rsidR="001165CD" w:rsidRDefault="0011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3A638" w14:textId="77777777" w:rsidR="001B5637" w:rsidRDefault="001B5637" w:rsidP="001165CD">
      <w:r>
        <w:separator/>
      </w:r>
    </w:p>
  </w:footnote>
  <w:footnote w:type="continuationSeparator" w:id="0">
    <w:p w14:paraId="383585F0" w14:textId="77777777" w:rsidR="001B5637" w:rsidRDefault="001B5637" w:rsidP="00116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558C"/>
    <w:multiLevelType w:val="hybridMultilevel"/>
    <w:tmpl w:val="14E26F6C"/>
    <w:lvl w:ilvl="0" w:tplc="CB68D0D4">
      <w:start w:val="1"/>
      <w:numFmt w:val="decimal"/>
      <w:lvlText w:val="%1."/>
      <w:lvlJc w:val="left"/>
      <w:pPr>
        <w:ind w:left="1440" w:hanging="360"/>
      </w:pPr>
      <w:rPr>
        <w:rFonts w:asciiTheme="minorHAnsi" w:hAnsiTheme="minorHAns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C2D4A"/>
    <w:multiLevelType w:val="hybridMultilevel"/>
    <w:tmpl w:val="378EB3B2"/>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50965"/>
    <w:multiLevelType w:val="hybridMultilevel"/>
    <w:tmpl w:val="CB62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52627"/>
    <w:multiLevelType w:val="multilevel"/>
    <w:tmpl w:val="9B5205E0"/>
    <w:lvl w:ilvl="0">
      <w:start w:val="1030"/>
      <w:numFmt w:val="decimal"/>
      <w:lvlText w:val="%1"/>
      <w:lvlJc w:val="left"/>
      <w:pPr>
        <w:ind w:left="660" w:hanging="660"/>
      </w:pPr>
      <w:rPr>
        <w:rFonts w:ascii="Roboto" w:hAnsi="Roboto" w:hint="default"/>
        <w:b/>
        <w:sz w:val="21"/>
      </w:rPr>
    </w:lvl>
    <w:lvl w:ilvl="1">
      <w:start w:val="4"/>
      <w:numFmt w:val="decimal"/>
      <w:lvlText w:val="%1.%2"/>
      <w:lvlJc w:val="left"/>
      <w:pPr>
        <w:ind w:left="1440" w:hanging="720"/>
      </w:pPr>
      <w:rPr>
        <w:rFonts w:ascii="Roboto" w:hAnsi="Roboto" w:hint="default"/>
        <w:b/>
        <w:sz w:val="21"/>
      </w:rPr>
    </w:lvl>
    <w:lvl w:ilvl="2">
      <w:start w:val="1"/>
      <w:numFmt w:val="decimal"/>
      <w:lvlText w:val="%1.%2.%3"/>
      <w:lvlJc w:val="left"/>
      <w:pPr>
        <w:ind w:left="2520" w:hanging="1080"/>
      </w:pPr>
      <w:rPr>
        <w:rFonts w:ascii="Roboto" w:hAnsi="Roboto" w:hint="default"/>
        <w:b/>
        <w:sz w:val="21"/>
      </w:rPr>
    </w:lvl>
    <w:lvl w:ilvl="3">
      <w:start w:val="1"/>
      <w:numFmt w:val="decimal"/>
      <w:lvlText w:val="%1.%2.%3.%4"/>
      <w:lvlJc w:val="left"/>
      <w:pPr>
        <w:ind w:left="3600" w:hanging="1440"/>
      </w:pPr>
      <w:rPr>
        <w:rFonts w:ascii="Roboto" w:hAnsi="Roboto" w:hint="default"/>
        <w:b/>
        <w:sz w:val="21"/>
      </w:rPr>
    </w:lvl>
    <w:lvl w:ilvl="4">
      <w:start w:val="1"/>
      <w:numFmt w:val="decimal"/>
      <w:lvlText w:val="%1.%2.%3.%4.%5"/>
      <w:lvlJc w:val="left"/>
      <w:pPr>
        <w:ind w:left="4680" w:hanging="1800"/>
      </w:pPr>
      <w:rPr>
        <w:rFonts w:ascii="Roboto" w:hAnsi="Roboto" w:hint="default"/>
        <w:b/>
        <w:sz w:val="21"/>
      </w:rPr>
    </w:lvl>
    <w:lvl w:ilvl="5">
      <w:start w:val="1"/>
      <w:numFmt w:val="decimal"/>
      <w:lvlText w:val="%1.%2.%3.%4.%5.%6"/>
      <w:lvlJc w:val="left"/>
      <w:pPr>
        <w:ind w:left="5760" w:hanging="2160"/>
      </w:pPr>
      <w:rPr>
        <w:rFonts w:ascii="Roboto" w:hAnsi="Roboto" w:hint="default"/>
        <w:b/>
        <w:sz w:val="21"/>
      </w:rPr>
    </w:lvl>
    <w:lvl w:ilvl="6">
      <w:start w:val="1"/>
      <w:numFmt w:val="decimal"/>
      <w:lvlText w:val="%1.%2.%3.%4.%5.%6.%7"/>
      <w:lvlJc w:val="left"/>
      <w:pPr>
        <w:ind w:left="6840" w:hanging="2520"/>
      </w:pPr>
      <w:rPr>
        <w:rFonts w:ascii="Roboto" w:hAnsi="Roboto" w:hint="default"/>
        <w:b/>
        <w:sz w:val="21"/>
      </w:rPr>
    </w:lvl>
    <w:lvl w:ilvl="7">
      <w:start w:val="1"/>
      <w:numFmt w:val="decimal"/>
      <w:lvlText w:val="%1.%2.%3.%4.%5.%6.%7.%8"/>
      <w:lvlJc w:val="left"/>
      <w:pPr>
        <w:ind w:left="7920" w:hanging="2880"/>
      </w:pPr>
      <w:rPr>
        <w:rFonts w:ascii="Roboto" w:hAnsi="Roboto" w:hint="default"/>
        <w:b/>
        <w:sz w:val="21"/>
      </w:rPr>
    </w:lvl>
    <w:lvl w:ilvl="8">
      <w:start w:val="1"/>
      <w:numFmt w:val="decimal"/>
      <w:lvlText w:val="%1.%2.%3.%4.%5.%6.%7.%8.%9"/>
      <w:lvlJc w:val="left"/>
      <w:pPr>
        <w:ind w:left="9000" w:hanging="3240"/>
      </w:pPr>
      <w:rPr>
        <w:rFonts w:ascii="Roboto" w:hAnsi="Roboto" w:hint="default"/>
        <w:b/>
        <w:sz w:val="21"/>
      </w:rPr>
    </w:lvl>
  </w:abstractNum>
  <w:abstractNum w:abstractNumId="7">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E1A06A1"/>
    <w:multiLevelType w:val="hybridMultilevel"/>
    <w:tmpl w:val="DD9A0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3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AB"/>
    <w:rsid w:val="000110B4"/>
    <w:rsid w:val="00086AA5"/>
    <w:rsid w:val="000A10A4"/>
    <w:rsid w:val="000E4C5F"/>
    <w:rsid w:val="001001A2"/>
    <w:rsid w:val="001165CD"/>
    <w:rsid w:val="0015146A"/>
    <w:rsid w:val="001517D8"/>
    <w:rsid w:val="00167DAA"/>
    <w:rsid w:val="00173907"/>
    <w:rsid w:val="001836DE"/>
    <w:rsid w:val="001B5637"/>
    <w:rsid w:val="001B74F4"/>
    <w:rsid w:val="002344B8"/>
    <w:rsid w:val="0024039D"/>
    <w:rsid w:val="002B3099"/>
    <w:rsid w:val="002B7F76"/>
    <w:rsid w:val="002D6B00"/>
    <w:rsid w:val="00356AE3"/>
    <w:rsid w:val="003B66E5"/>
    <w:rsid w:val="003D62AC"/>
    <w:rsid w:val="003F37F9"/>
    <w:rsid w:val="00457266"/>
    <w:rsid w:val="004F46EA"/>
    <w:rsid w:val="005807E7"/>
    <w:rsid w:val="005B0920"/>
    <w:rsid w:val="00631F0F"/>
    <w:rsid w:val="00681FFD"/>
    <w:rsid w:val="006B0E89"/>
    <w:rsid w:val="0071002E"/>
    <w:rsid w:val="00725AB3"/>
    <w:rsid w:val="00741F65"/>
    <w:rsid w:val="0074660F"/>
    <w:rsid w:val="00760A12"/>
    <w:rsid w:val="007703ED"/>
    <w:rsid w:val="007746E3"/>
    <w:rsid w:val="007D50D0"/>
    <w:rsid w:val="007F7DEC"/>
    <w:rsid w:val="00800AF4"/>
    <w:rsid w:val="008018A1"/>
    <w:rsid w:val="00857A92"/>
    <w:rsid w:val="00887417"/>
    <w:rsid w:val="008A7092"/>
    <w:rsid w:val="008D169F"/>
    <w:rsid w:val="008D36AC"/>
    <w:rsid w:val="008E2875"/>
    <w:rsid w:val="008F6D0D"/>
    <w:rsid w:val="00910E51"/>
    <w:rsid w:val="00924367"/>
    <w:rsid w:val="00945D3B"/>
    <w:rsid w:val="00977244"/>
    <w:rsid w:val="0099013C"/>
    <w:rsid w:val="009C2179"/>
    <w:rsid w:val="00A01234"/>
    <w:rsid w:val="00A13C64"/>
    <w:rsid w:val="00A25315"/>
    <w:rsid w:val="00A561EE"/>
    <w:rsid w:val="00A85C96"/>
    <w:rsid w:val="00AA52B4"/>
    <w:rsid w:val="00AC6E13"/>
    <w:rsid w:val="00AD4DD5"/>
    <w:rsid w:val="00AE2A2D"/>
    <w:rsid w:val="00AF2A8F"/>
    <w:rsid w:val="00AF43ED"/>
    <w:rsid w:val="00B153C9"/>
    <w:rsid w:val="00B358A4"/>
    <w:rsid w:val="00B434CD"/>
    <w:rsid w:val="00B612D0"/>
    <w:rsid w:val="00B850E3"/>
    <w:rsid w:val="00BD7E34"/>
    <w:rsid w:val="00BE45AB"/>
    <w:rsid w:val="00BF574C"/>
    <w:rsid w:val="00C12440"/>
    <w:rsid w:val="00C33CBA"/>
    <w:rsid w:val="00C65742"/>
    <w:rsid w:val="00C70619"/>
    <w:rsid w:val="00C84F6C"/>
    <w:rsid w:val="00D32268"/>
    <w:rsid w:val="00D34D0E"/>
    <w:rsid w:val="00D5403F"/>
    <w:rsid w:val="00D572BE"/>
    <w:rsid w:val="00D84BCC"/>
    <w:rsid w:val="00DB505F"/>
    <w:rsid w:val="00DD449E"/>
    <w:rsid w:val="00E230D6"/>
    <w:rsid w:val="00E66F5F"/>
    <w:rsid w:val="00EB3EBB"/>
    <w:rsid w:val="00ED4CA1"/>
    <w:rsid w:val="00EF3FC7"/>
    <w:rsid w:val="00F5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0250"/>
  <w15:docId w15:val="{96116522-51CF-4FB4-820F-26A45D7F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4660F"/>
    <w:pPr>
      <w:autoSpaceDE w:val="0"/>
      <w:autoSpaceDN w:val="0"/>
      <w:adjustRightInd w:val="0"/>
      <w:ind w:left="40"/>
      <w:outlineLvl w:val="0"/>
    </w:pPr>
    <w:rPr>
      <w:rFonts w:eastAsia="Times New Roman"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 w:type="table" w:styleId="TableGrid">
    <w:name w:val="Table Grid"/>
    <w:basedOn w:val="TableNormal"/>
    <w:uiPriority w:val="59"/>
    <w:rsid w:val="005B0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74660F"/>
    <w:rPr>
      <w:rFonts w:eastAsia="Times New Roman"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121">
      <w:bodyDiv w:val="1"/>
      <w:marLeft w:val="0"/>
      <w:marRight w:val="0"/>
      <w:marTop w:val="0"/>
      <w:marBottom w:val="0"/>
      <w:divBdr>
        <w:top w:val="none" w:sz="0" w:space="0" w:color="auto"/>
        <w:left w:val="none" w:sz="0" w:space="0" w:color="auto"/>
        <w:bottom w:val="none" w:sz="0" w:space="0" w:color="auto"/>
        <w:right w:val="none" w:sz="0" w:space="0" w:color="auto"/>
      </w:divBdr>
    </w:div>
    <w:div w:id="680618845">
      <w:bodyDiv w:val="1"/>
      <w:marLeft w:val="0"/>
      <w:marRight w:val="0"/>
      <w:marTop w:val="0"/>
      <w:marBottom w:val="0"/>
      <w:divBdr>
        <w:top w:val="none" w:sz="0" w:space="0" w:color="auto"/>
        <w:left w:val="none" w:sz="0" w:space="0" w:color="auto"/>
        <w:bottom w:val="none" w:sz="0" w:space="0" w:color="auto"/>
        <w:right w:val="none" w:sz="0" w:space="0" w:color="auto"/>
      </w:divBdr>
    </w:div>
    <w:div w:id="947083783">
      <w:bodyDiv w:val="1"/>
      <w:marLeft w:val="0"/>
      <w:marRight w:val="0"/>
      <w:marTop w:val="0"/>
      <w:marBottom w:val="0"/>
      <w:divBdr>
        <w:top w:val="none" w:sz="0" w:space="0" w:color="auto"/>
        <w:left w:val="none" w:sz="0" w:space="0" w:color="auto"/>
        <w:bottom w:val="none" w:sz="0" w:space="0" w:color="auto"/>
        <w:right w:val="none" w:sz="0" w:space="0" w:color="auto"/>
      </w:divBdr>
    </w:div>
    <w:div w:id="1133133739">
      <w:bodyDiv w:val="1"/>
      <w:marLeft w:val="0"/>
      <w:marRight w:val="0"/>
      <w:marTop w:val="0"/>
      <w:marBottom w:val="0"/>
      <w:divBdr>
        <w:top w:val="none" w:sz="0" w:space="0" w:color="auto"/>
        <w:left w:val="none" w:sz="0" w:space="0" w:color="auto"/>
        <w:bottom w:val="none" w:sz="0" w:space="0" w:color="auto"/>
        <w:right w:val="none" w:sz="0" w:space="0" w:color="auto"/>
      </w:divBdr>
    </w:div>
    <w:div w:id="1494106716">
      <w:bodyDiv w:val="1"/>
      <w:marLeft w:val="0"/>
      <w:marRight w:val="0"/>
      <w:marTop w:val="0"/>
      <w:marBottom w:val="0"/>
      <w:divBdr>
        <w:top w:val="none" w:sz="0" w:space="0" w:color="auto"/>
        <w:left w:val="none" w:sz="0" w:space="0" w:color="auto"/>
        <w:bottom w:val="none" w:sz="0" w:space="0" w:color="auto"/>
        <w:right w:val="none" w:sz="0" w:space="0" w:color="auto"/>
      </w:divBdr>
    </w:div>
    <w:div w:id="1910115630">
      <w:bodyDiv w:val="1"/>
      <w:marLeft w:val="0"/>
      <w:marRight w:val="0"/>
      <w:marTop w:val="0"/>
      <w:marBottom w:val="0"/>
      <w:divBdr>
        <w:top w:val="none" w:sz="0" w:space="0" w:color="auto"/>
        <w:left w:val="none" w:sz="0" w:space="0" w:color="auto"/>
        <w:bottom w:val="none" w:sz="0" w:space="0" w:color="auto"/>
        <w:right w:val="none" w:sz="0" w:space="0" w:color="auto"/>
      </w:divBdr>
    </w:div>
    <w:div w:id="19535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5</cp:revision>
  <dcterms:created xsi:type="dcterms:W3CDTF">2023-02-23T14:33:00Z</dcterms:created>
  <dcterms:modified xsi:type="dcterms:W3CDTF">2023-02-27T00:01:00Z</dcterms:modified>
</cp:coreProperties>
</file>