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DFB" w:rsidRPr="004D2DFB" w:rsidRDefault="004D2DFB" w:rsidP="004D2DFB">
      <w:pPr>
        <w:autoSpaceDE w:val="0"/>
        <w:autoSpaceDN w:val="0"/>
        <w:adjustRightInd w:val="0"/>
        <w:rPr>
          <w:rFonts w:ascii="Times New Roman" w:hAnsi="Times New Roman"/>
          <w:color w:val="FF0000"/>
          <w:sz w:val="24"/>
          <w:szCs w:val="24"/>
        </w:rPr>
      </w:pPr>
      <w:proofErr w:type="gramStart"/>
      <w:r w:rsidRPr="00F35E08">
        <w:rPr>
          <w:rFonts w:ascii="Times New Roman" w:hAnsi="Times New Roman"/>
          <w:b/>
          <w:bCs/>
          <w:sz w:val="24"/>
          <w:szCs w:val="24"/>
        </w:rPr>
        <w:t>R406.2 Mandatory requirements.</w:t>
      </w:r>
      <w:proofErr w:type="gramEnd"/>
      <w:r w:rsidRPr="00F35E08">
        <w:rPr>
          <w:rFonts w:ascii="Times New Roman" w:hAnsi="Times New Roman"/>
          <w:b/>
          <w:bCs/>
          <w:sz w:val="24"/>
          <w:szCs w:val="24"/>
        </w:rPr>
        <w:t xml:space="preserve"> </w:t>
      </w:r>
      <w:r w:rsidRPr="00F35E08">
        <w:rPr>
          <w:rFonts w:ascii="Times New Roman" w:hAnsi="Times New Roman"/>
          <w:sz w:val="24"/>
          <w:szCs w:val="24"/>
        </w:rPr>
        <w:t xml:space="preserve">Compliance with this section requires that the provisions identified in Sections R401 through R404 labeled as "mandatory" and Section R403.5.3 </w:t>
      </w:r>
      <w:r w:rsidRPr="004D2DFB">
        <w:rPr>
          <w:rFonts w:ascii="Times New Roman" w:hAnsi="Times New Roman"/>
          <w:sz w:val="24"/>
          <w:szCs w:val="24"/>
        </w:rPr>
        <w:t xml:space="preserve">of </w:t>
      </w:r>
      <w:r w:rsidRPr="004D2DFB">
        <w:rPr>
          <w:rFonts w:ascii="Times New Roman" w:hAnsi="Times New Roman"/>
          <w:color w:val="FF0000"/>
          <w:sz w:val="24"/>
          <w:szCs w:val="24"/>
        </w:rPr>
        <w:t xml:space="preserve">the 2015 </w:t>
      </w:r>
      <w:r w:rsidRPr="004D2DFB">
        <w:rPr>
          <w:rFonts w:ascii="Times New Roman" w:hAnsi="Times New Roman"/>
          <w:i/>
          <w:iCs/>
          <w:color w:val="FF0000"/>
          <w:sz w:val="24"/>
          <w:szCs w:val="24"/>
        </w:rPr>
        <w:t xml:space="preserve">International Energy Conservation </w:t>
      </w:r>
      <w:proofErr w:type="gramStart"/>
      <w:r w:rsidRPr="004D2DFB">
        <w:rPr>
          <w:rFonts w:ascii="Times New Roman" w:hAnsi="Times New Roman"/>
          <w:i/>
          <w:iCs/>
          <w:color w:val="FF0000"/>
          <w:sz w:val="24"/>
          <w:szCs w:val="24"/>
        </w:rPr>
        <w:t>Code</w:t>
      </w:r>
      <w:r w:rsidRPr="004D2DFB">
        <w:rPr>
          <w:rFonts w:ascii="Times New Roman" w:hAnsi="Times New Roman"/>
          <w:i/>
          <w:iCs/>
          <w:strike/>
          <w:color w:val="FF0000"/>
          <w:sz w:val="24"/>
          <w:szCs w:val="24"/>
        </w:rPr>
        <w:t xml:space="preserve"> </w:t>
      </w:r>
      <w:r w:rsidRPr="00F35E08">
        <w:rPr>
          <w:rFonts w:ascii="Times New Roman" w:hAnsi="Times New Roman"/>
          <w:i/>
          <w:iCs/>
          <w:color w:val="FF0000"/>
          <w:sz w:val="24"/>
          <w:szCs w:val="24"/>
        </w:rPr>
        <w:t xml:space="preserve"> </w:t>
      </w:r>
      <w:r w:rsidRPr="00F35E08">
        <w:rPr>
          <w:rFonts w:ascii="Times New Roman" w:hAnsi="Times New Roman"/>
          <w:sz w:val="24"/>
          <w:szCs w:val="24"/>
        </w:rPr>
        <w:t>be</w:t>
      </w:r>
      <w:proofErr w:type="gramEnd"/>
      <w:r w:rsidRPr="00F35E08">
        <w:rPr>
          <w:rFonts w:ascii="Times New Roman" w:hAnsi="Times New Roman"/>
          <w:sz w:val="24"/>
          <w:szCs w:val="24"/>
        </w:rPr>
        <w:t xml:space="preserve"> met. </w:t>
      </w:r>
      <w:r w:rsidRPr="00F35E08">
        <w:rPr>
          <w:rFonts w:ascii="Times New Roman" w:hAnsi="Times New Roman"/>
          <w:sz w:val="24"/>
          <w:szCs w:val="24"/>
          <w:u w:val="single"/>
        </w:rPr>
        <w:t>For buildings that do not utilize on-site renewable power production for compliance with this section</w:t>
      </w:r>
      <w:r w:rsidRPr="00F35E08">
        <w:rPr>
          <w:rFonts w:ascii="Times New Roman" w:hAnsi="Times New Roman"/>
          <w:sz w:val="24"/>
          <w:szCs w:val="24"/>
        </w:rPr>
        <w:t xml:space="preserve">, </w:t>
      </w:r>
      <w:proofErr w:type="spellStart"/>
      <w:r w:rsidRPr="00F35E08">
        <w:rPr>
          <w:rFonts w:ascii="Times New Roman" w:hAnsi="Times New Roman"/>
          <w:strike/>
          <w:sz w:val="24"/>
          <w:szCs w:val="24"/>
        </w:rPr>
        <w:t>T</w:t>
      </w:r>
      <w:r w:rsidRPr="00F35E08">
        <w:rPr>
          <w:rFonts w:ascii="Times New Roman" w:hAnsi="Times New Roman"/>
          <w:sz w:val="24"/>
          <w:szCs w:val="24"/>
        </w:rPr>
        <w:t>the</w:t>
      </w:r>
      <w:proofErr w:type="spellEnd"/>
      <w:r w:rsidRPr="00F35E08">
        <w:rPr>
          <w:rFonts w:ascii="Times New Roman" w:hAnsi="Times New Roman"/>
          <w:sz w:val="24"/>
          <w:szCs w:val="24"/>
        </w:rPr>
        <w:t xml:space="preserve"> building thermal envelope shall be greater than or equal to levels of efficiency and Solar Heat Gain Coefficient in Table 402.1.1 or 402.1.3 of the 2009 </w:t>
      </w:r>
      <w:r w:rsidRPr="00F35E08">
        <w:rPr>
          <w:rFonts w:ascii="Times New Roman" w:hAnsi="Times New Roman"/>
          <w:i/>
          <w:iCs/>
          <w:sz w:val="24"/>
          <w:szCs w:val="24"/>
        </w:rPr>
        <w:t>International Energy Conservation Code</w:t>
      </w:r>
      <w:r w:rsidRPr="00F35E08">
        <w:rPr>
          <w:rFonts w:ascii="Times New Roman" w:hAnsi="Times New Roman"/>
          <w:sz w:val="24"/>
          <w:szCs w:val="24"/>
        </w:rPr>
        <w:t xml:space="preserve">. </w:t>
      </w:r>
      <w:r w:rsidRPr="00F35E08">
        <w:rPr>
          <w:rFonts w:ascii="Times New Roman" w:hAnsi="Times New Roman"/>
          <w:sz w:val="24"/>
          <w:szCs w:val="24"/>
          <w:u w:val="single"/>
        </w:rPr>
        <w:t xml:space="preserve">For buildings that utilize on-site renewable power production for compliance with this section, the building thermal envelope shall be greater than or equal to levels of efficiency and Solar Heat Gain Coefficient in Table R402.1.2 or Table R402.1.4 </w:t>
      </w:r>
      <w:proofErr w:type="gramStart"/>
      <w:r w:rsidRPr="00F35E08">
        <w:rPr>
          <w:rFonts w:ascii="Times New Roman" w:hAnsi="Times New Roman"/>
          <w:sz w:val="24"/>
          <w:szCs w:val="24"/>
          <w:u w:val="single"/>
        </w:rPr>
        <w:t xml:space="preserve">of </w:t>
      </w:r>
      <w:r>
        <w:rPr>
          <w:rFonts w:ascii="Times New Roman" w:hAnsi="Times New Roman"/>
          <w:color w:val="FF0000"/>
          <w:sz w:val="24"/>
          <w:szCs w:val="24"/>
          <w:u w:val="single"/>
        </w:rPr>
        <w:t xml:space="preserve"> </w:t>
      </w:r>
      <w:r w:rsidRPr="004D2DFB">
        <w:rPr>
          <w:rFonts w:ascii="Times New Roman" w:hAnsi="Times New Roman"/>
          <w:color w:val="FF0000"/>
          <w:sz w:val="24"/>
          <w:szCs w:val="24"/>
        </w:rPr>
        <w:t>the</w:t>
      </w:r>
      <w:proofErr w:type="gramEnd"/>
      <w:r w:rsidRPr="004D2DFB">
        <w:rPr>
          <w:rFonts w:ascii="Times New Roman" w:hAnsi="Times New Roman"/>
          <w:sz w:val="24"/>
          <w:szCs w:val="24"/>
        </w:rPr>
        <w:t xml:space="preserve"> </w:t>
      </w:r>
      <w:r w:rsidRPr="004D2DFB">
        <w:rPr>
          <w:rFonts w:ascii="Times New Roman" w:hAnsi="Times New Roman"/>
          <w:color w:val="FF0000"/>
          <w:sz w:val="24"/>
          <w:szCs w:val="24"/>
        </w:rPr>
        <w:t xml:space="preserve">2015 </w:t>
      </w:r>
      <w:r w:rsidRPr="004D2DFB">
        <w:rPr>
          <w:rFonts w:ascii="Times New Roman" w:hAnsi="Times New Roman"/>
          <w:i/>
          <w:iCs/>
          <w:color w:val="FF0000"/>
          <w:sz w:val="24"/>
          <w:szCs w:val="24"/>
        </w:rPr>
        <w:t>International Energy Conservation Code</w:t>
      </w:r>
      <w:r w:rsidRPr="004D2DFB">
        <w:rPr>
          <w:rFonts w:ascii="Times New Roman" w:hAnsi="Times New Roman"/>
          <w:color w:val="FF0000"/>
          <w:sz w:val="24"/>
          <w:szCs w:val="24"/>
        </w:rPr>
        <w:t>.</w:t>
      </w:r>
    </w:p>
    <w:p w:rsidR="004D2DFB" w:rsidRPr="004D2DFB" w:rsidRDefault="004D2DFB" w:rsidP="004D2DFB">
      <w:pPr>
        <w:autoSpaceDE w:val="0"/>
        <w:autoSpaceDN w:val="0"/>
        <w:adjustRightInd w:val="0"/>
        <w:rPr>
          <w:rFonts w:ascii="Times New Roman" w:hAnsi="Times New Roman"/>
          <w:i/>
          <w:iCs/>
          <w:sz w:val="24"/>
          <w:szCs w:val="24"/>
        </w:rPr>
      </w:pPr>
      <w:bookmarkStart w:id="0" w:name="_GoBack"/>
      <w:bookmarkEnd w:id="0"/>
    </w:p>
    <w:p w:rsidR="004D2DFB" w:rsidRPr="00F35E08" w:rsidRDefault="004D2DFB" w:rsidP="004D2DFB">
      <w:pPr>
        <w:autoSpaceDE w:val="0"/>
        <w:autoSpaceDN w:val="0"/>
        <w:adjustRightInd w:val="0"/>
        <w:rPr>
          <w:rFonts w:ascii="Times New Roman" w:hAnsi="Times New Roman"/>
          <w:iCs/>
          <w:sz w:val="24"/>
          <w:szCs w:val="24"/>
        </w:rPr>
      </w:pPr>
      <w:r w:rsidRPr="00F35E08">
        <w:rPr>
          <w:rFonts w:ascii="Times New Roman" w:hAnsi="Times New Roman"/>
          <w:iCs/>
          <w:sz w:val="24"/>
          <w:szCs w:val="24"/>
        </w:rPr>
        <w:t>Exception:  Supply and return ducts not completely inside the building thermal envelope shall be insulated to a minimum of R-6.</w:t>
      </w:r>
    </w:p>
    <w:p w:rsidR="004D2DFB" w:rsidRDefault="004D2DFB" w:rsidP="004D2DFB">
      <w:pPr>
        <w:pStyle w:val="NormalWeb"/>
      </w:pPr>
      <w:proofErr w:type="gramStart"/>
      <w:r>
        <w:rPr>
          <w:b/>
          <w:bCs/>
        </w:rPr>
        <w:t>R406.3 Energy Rating Index.</w:t>
      </w:r>
      <w:proofErr w:type="gramEnd"/>
      <w:r>
        <w:rPr>
          <w:b/>
          <w:bCs/>
        </w:rPr>
        <w:t xml:space="preserve"> </w:t>
      </w:r>
    </w:p>
    <w:p w:rsidR="004D2DFB" w:rsidRDefault="004D2DFB" w:rsidP="004D2DFB">
      <w:pPr>
        <w:pStyle w:val="NormalWeb"/>
      </w:pPr>
      <w:r>
        <w:t xml:space="preserve">The Energy Rating Index (ERI) shall be a numerical integer value that is based on a linear scale constructed such that the </w:t>
      </w:r>
      <w:r>
        <w:rPr>
          <w:i/>
          <w:iCs/>
        </w:rPr>
        <w:t xml:space="preserve">ERI reference design </w:t>
      </w:r>
      <w:r>
        <w:t xml:space="preserve">has an Index value of 100 and a </w:t>
      </w:r>
      <w:r>
        <w:rPr>
          <w:i/>
          <w:iCs/>
        </w:rPr>
        <w:t xml:space="preserve">residential building </w:t>
      </w:r>
      <w:r>
        <w:t xml:space="preserve">that uses no net purchased energy has an Index value of 0. Each integer value on the scale shall represent a 1-percent change in the </w:t>
      </w:r>
      <w:r>
        <w:rPr>
          <w:strike/>
        </w:rPr>
        <w:t xml:space="preserve">total energy use </w:t>
      </w:r>
      <w:r>
        <w:rPr>
          <w:u w:val="single"/>
        </w:rPr>
        <w:t>annual total normalized modified loads</w:t>
      </w:r>
      <w:r>
        <w:t xml:space="preserve"> of the</w:t>
      </w:r>
      <w:r>
        <w:rPr>
          <w:strike/>
        </w:rPr>
        <w:t xml:space="preserve"> rated design</w:t>
      </w:r>
      <w:r>
        <w:rPr>
          <w:u w:val="single"/>
        </w:rPr>
        <w:t xml:space="preserve"> </w:t>
      </w:r>
      <w:r>
        <w:rPr>
          <w:i/>
          <w:iCs/>
          <w:u w:val="single"/>
        </w:rPr>
        <w:t>rated design</w:t>
      </w:r>
      <w:r>
        <w:t xml:space="preserve"> relative to the </w:t>
      </w:r>
      <w:r>
        <w:rPr>
          <w:u w:val="single"/>
        </w:rPr>
        <w:t>annual</w:t>
      </w:r>
      <w:r>
        <w:t xml:space="preserve"> total </w:t>
      </w:r>
      <w:r>
        <w:rPr>
          <w:strike/>
        </w:rPr>
        <w:t xml:space="preserve">energy use </w:t>
      </w:r>
      <w:r>
        <w:rPr>
          <w:u w:val="single"/>
        </w:rPr>
        <w:t>loads</w:t>
      </w:r>
      <w:r>
        <w:t xml:space="preserve"> of the </w:t>
      </w:r>
      <w:r>
        <w:rPr>
          <w:i/>
          <w:iCs/>
        </w:rPr>
        <w:t xml:space="preserve">ERI reference design. </w:t>
      </w:r>
      <w:r>
        <w:t xml:space="preserve">The ERI shall consider all energy used in the </w:t>
      </w:r>
      <w:r>
        <w:rPr>
          <w:i/>
          <w:iCs/>
        </w:rPr>
        <w:t xml:space="preserve">residential building. </w:t>
      </w:r>
    </w:p>
    <w:p w:rsidR="004D2DFB" w:rsidRDefault="004D2DFB" w:rsidP="004D2DFB">
      <w:pPr>
        <w:pStyle w:val="NormalWeb"/>
      </w:pPr>
      <w:proofErr w:type="gramStart"/>
      <w:r>
        <w:rPr>
          <w:b/>
          <w:bCs/>
        </w:rPr>
        <w:t>R406.3.1 ERI reference design.</w:t>
      </w:r>
      <w:proofErr w:type="gramEnd"/>
    </w:p>
    <w:p w:rsidR="004D2DFB" w:rsidRDefault="004D2DFB" w:rsidP="004D2DFB">
      <w:pPr>
        <w:pStyle w:val="NormalWeb"/>
      </w:pPr>
      <w:r>
        <w:t xml:space="preserve">The </w:t>
      </w:r>
      <w:r>
        <w:rPr>
          <w:i/>
          <w:iCs/>
        </w:rPr>
        <w:t xml:space="preserve">ERI reference design </w:t>
      </w:r>
      <w:r>
        <w:t xml:space="preserve">shall be configured such that it meets the minimum requirements of the 2006 </w:t>
      </w:r>
      <w:r>
        <w:rPr>
          <w:i/>
          <w:iCs/>
        </w:rPr>
        <w:t xml:space="preserve">International Energy Conservation Code </w:t>
      </w:r>
      <w:r>
        <w:t>prescriptive requirements.</w:t>
      </w:r>
    </w:p>
    <w:p w:rsidR="004D2DFB" w:rsidRDefault="004D2DFB" w:rsidP="004D2DFB">
      <w:pPr>
        <w:pStyle w:val="NormalWeb"/>
      </w:pPr>
      <w:r>
        <w:rPr>
          <w:strike/>
        </w:rPr>
        <w:t xml:space="preserve">The proposed </w:t>
      </w:r>
      <w:r>
        <w:rPr>
          <w:i/>
          <w:iCs/>
          <w:strike/>
        </w:rPr>
        <w:t xml:space="preserve">residential building </w:t>
      </w:r>
      <w:r>
        <w:rPr>
          <w:strike/>
        </w:rPr>
        <w:t xml:space="preserve">shall be shown to have an annual total normalized modified load less than or equal to the annual total loads of the </w:t>
      </w:r>
      <w:r>
        <w:rPr>
          <w:i/>
          <w:iCs/>
          <w:strike/>
        </w:rPr>
        <w:t>ERI reference design.</w:t>
      </w:r>
    </w:p>
    <w:p w:rsidR="004D2DFB" w:rsidRDefault="004D2DFB" w:rsidP="004D2DFB">
      <w:pPr>
        <w:pStyle w:val="NormalWeb"/>
      </w:pPr>
      <w:proofErr w:type="gramStart"/>
      <w:r>
        <w:rPr>
          <w:b/>
          <w:bCs/>
        </w:rPr>
        <w:t>R406.4 ERI-based compliance.</w:t>
      </w:r>
      <w:proofErr w:type="gramEnd"/>
    </w:p>
    <w:p w:rsidR="004D2DFB" w:rsidRDefault="004D2DFB" w:rsidP="004D2DFB">
      <w:pPr>
        <w:pStyle w:val="NormalWeb"/>
      </w:pPr>
      <w:r>
        <w:rPr>
          <w:u w:val="single"/>
        </w:rPr>
        <w:t xml:space="preserve">The ERI for the </w:t>
      </w:r>
      <w:r>
        <w:rPr>
          <w:i/>
          <w:iCs/>
          <w:u w:val="single"/>
        </w:rPr>
        <w:t>rated design</w:t>
      </w:r>
      <w:r>
        <w:rPr>
          <w:u w:val="single"/>
        </w:rPr>
        <w:t xml:space="preserve"> shall be determined in accordance with ANSI/RESNET/ICC 301-2014, including Addendum A-2015, and </w:t>
      </w:r>
      <w:r>
        <w:rPr>
          <w:strike/>
        </w:rPr>
        <w:t xml:space="preserve">Compliance based on an ERI analysis requires that the </w:t>
      </w:r>
      <w:r>
        <w:rPr>
          <w:i/>
          <w:iCs/>
          <w:strike/>
        </w:rPr>
        <w:t xml:space="preserve">rated design </w:t>
      </w:r>
      <w:r>
        <w:t>be shown to have an ERI less than or equal to the appropriate value listed in Table R406.4</w:t>
      </w:r>
      <w:r>
        <w:rPr>
          <w:strike/>
        </w:rPr>
        <w:t xml:space="preserve"> when compared to the </w:t>
      </w:r>
      <w:r>
        <w:rPr>
          <w:i/>
          <w:iCs/>
          <w:strike/>
        </w:rPr>
        <w:t>ERI reference design</w:t>
      </w:r>
      <w:r>
        <w:rPr>
          <w:i/>
          <w:iCs/>
        </w:rPr>
        <w:t xml:space="preserve">. </w:t>
      </w:r>
    </w:p>
    <w:p w:rsidR="00A561EE" w:rsidRDefault="00A561EE"/>
    <w:sectPr w:rsidR="00A56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DFB"/>
    <w:rsid w:val="004D2DFB"/>
    <w:rsid w:val="00A561EE"/>
    <w:rsid w:val="00B8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D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2DFB"/>
    <w:pPr>
      <w:spacing w:before="100" w:beforeAutospacing="1" w:after="100" w:afterAutospacing="1"/>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D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2DFB"/>
    <w:pPr>
      <w:spacing w:before="100" w:beforeAutospacing="1" w:after="100" w:afterAutospacing="1"/>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Business and Professional Regulation</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Madani, Mo</dc:creator>
  <cp:lastModifiedBy>Madani, Mo</cp:lastModifiedBy>
  <cp:revision>1</cp:revision>
  <dcterms:created xsi:type="dcterms:W3CDTF">2016-10-14T01:34:00Z</dcterms:created>
  <dcterms:modified xsi:type="dcterms:W3CDTF">2016-10-14T01:38:00Z</dcterms:modified>
</cp:coreProperties>
</file>