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A4970" w14:textId="63615D7B" w:rsidR="00107A28" w:rsidRPr="00507E77" w:rsidRDefault="00107A28" w:rsidP="000D7F24">
      <w:pPr>
        <w:pBdr>
          <w:top w:val="double" w:sz="4" w:space="8" w:color="auto"/>
          <w:left w:val="double" w:sz="4" w:space="4" w:color="auto"/>
          <w:bottom w:val="double" w:sz="4" w:space="4" w:color="auto"/>
          <w:right w:val="double" w:sz="4" w:space="4" w:color="auto"/>
        </w:pBdr>
        <w:shd w:val="clear" w:color="auto" w:fill="4F81BD" w:themeFill="accent1"/>
        <w:tabs>
          <w:tab w:val="left" w:pos="990"/>
        </w:tabs>
        <w:spacing w:after="0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507E77">
        <w:rPr>
          <w:b/>
          <w:bCs/>
          <w:smallCaps/>
          <w:color w:val="FFFFFF" w:themeColor="background1"/>
          <w:sz w:val="28"/>
          <w:szCs w:val="28"/>
        </w:rPr>
        <w:t xml:space="preserve">Research Project Ranking Exercise </w:t>
      </w:r>
      <w:r w:rsidR="003400DA" w:rsidRPr="00507E77">
        <w:rPr>
          <w:b/>
          <w:bCs/>
          <w:smallCaps/>
          <w:color w:val="FFFFFF" w:themeColor="background1"/>
          <w:sz w:val="28"/>
          <w:szCs w:val="28"/>
        </w:rPr>
        <w:t>—</w:t>
      </w:r>
      <w:r w:rsidR="009345EB" w:rsidRPr="00507E77">
        <w:rPr>
          <w:b/>
          <w:bCs/>
          <w:smallCaps/>
          <w:color w:val="FFFFFF" w:themeColor="background1"/>
          <w:sz w:val="28"/>
          <w:szCs w:val="28"/>
        </w:rPr>
        <w:t xml:space="preserve">Hurricane Research Advisory Committee </w:t>
      </w:r>
      <w:r w:rsidR="00CD32C7">
        <w:rPr>
          <w:b/>
          <w:bCs/>
          <w:smallCaps/>
          <w:color w:val="FFFFFF" w:themeColor="background1"/>
          <w:sz w:val="28"/>
          <w:szCs w:val="28"/>
        </w:rPr>
        <w:t xml:space="preserve">August </w:t>
      </w:r>
      <w:r w:rsidR="00A60130">
        <w:rPr>
          <w:b/>
          <w:bCs/>
          <w:smallCaps/>
          <w:color w:val="FFFFFF" w:themeColor="background1"/>
          <w:sz w:val="28"/>
          <w:szCs w:val="28"/>
        </w:rPr>
        <w:t xml:space="preserve">3, </w:t>
      </w:r>
      <w:r w:rsidR="009345EB" w:rsidRPr="00507E77">
        <w:rPr>
          <w:b/>
          <w:bCs/>
          <w:smallCaps/>
          <w:color w:val="FFFFFF" w:themeColor="background1"/>
          <w:sz w:val="28"/>
          <w:szCs w:val="28"/>
        </w:rPr>
        <w:t>2020</w:t>
      </w:r>
    </w:p>
    <w:p w14:paraId="2FDDE461" w14:textId="77777777" w:rsidR="00125ADA" w:rsidRPr="00507E77" w:rsidRDefault="00125ADA" w:rsidP="00125ADA">
      <w:pPr>
        <w:tabs>
          <w:tab w:val="left" w:pos="990"/>
        </w:tabs>
        <w:spacing w:after="0"/>
        <w:rPr>
          <w:b/>
          <w:bCs/>
          <w:smallCaps/>
          <w:sz w:val="12"/>
          <w:szCs w:val="12"/>
        </w:rPr>
      </w:pPr>
    </w:p>
    <w:p w14:paraId="36C86B02" w14:textId="109AFBFD" w:rsidR="004E7C15" w:rsidRPr="00507E77" w:rsidRDefault="004E7C15" w:rsidP="00125ADA">
      <w:pPr>
        <w:tabs>
          <w:tab w:val="left" w:pos="990"/>
        </w:tabs>
        <w:spacing w:after="0"/>
        <w:rPr>
          <w:b/>
          <w:bCs/>
          <w:smallCaps/>
          <w:sz w:val="28"/>
          <w:szCs w:val="28"/>
        </w:rPr>
      </w:pPr>
      <w:r w:rsidRPr="00507E77">
        <w:rPr>
          <w:b/>
          <w:bCs/>
          <w:smallCaps/>
          <w:sz w:val="28"/>
          <w:szCs w:val="28"/>
        </w:rPr>
        <w:t>Process for Reviewing Research Projects:</w:t>
      </w:r>
    </w:p>
    <w:p w14:paraId="6B8E7B64" w14:textId="76BF834C" w:rsidR="001D1975" w:rsidRPr="00CD32C7" w:rsidRDefault="001D1975" w:rsidP="00125ADA">
      <w:pPr>
        <w:pStyle w:val="ListParagraph"/>
        <w:numPr>
          <w:ilvl w:val="0"/>
          <w:numId w:val="7"/>
        </w:numPr>
        <w:tabs>
          <w:tab w:val="left" w:pos="990"/>
        </w:tabs>
        <w:jc w:val="both"/>
        <w:rPr>
          <w:rFonts w:ascii="Garamond" w:hAnsi="Garamond"/>
        </w:rPr>
      </w:pPr>
      <w:r w:rsidRPr="00CD32C7">
        <w:rPr>
          <w:rFonts w:ascii="Garamond" w:hAnsi="Garamond"/>
        </w:rPr>
        <w:t xml:space="preserve">Projects </w:t>
      </w:r>
      <w:r w:rsidR="008E76AA" w:rsidRPr="00CD32C7">
        <w:rPr>
          <w:rFonts w:ascii="Garamond" w:hAnsi="Garamond"/>
        </w:rPr>
        <w:t xml:space="preserve">proposals </w:t>
      </w:r>
      <w:r w:rsidR="00B911E1" w:rsidRPr="00CD32C7">
        <w:rPr>
          <w:rFonts w:ascii="Garamond" w:hAnsi="Garamond"/>
        </w:rPr>
        <w:t>(4</w:t>
      </w:r>
      <w:r w:rsidR="00137BA7" w:rsidRPr="00CD32C7">
        <w:rPr>
          <w:rFonts w:ascii="Garamond" w:hAnsi="Garamond"/>
        </w:rPr>
        <w:t xml:space="preserve">) </w:t>
      </w:r>
      <w:r w:rsidRPr="00CD32C7">
        <w:rPr>
          <w:rFonts w:ascii="Garamond" w:hAnsi="Garamond"/>
        </w:rPr>
        <w:t>required</w:t>
      </w:r>
      <w:r w:rsidR="00B911E1" w:rsidRPr="00CD32C7">
        <w:rPr>
          <w:rFonts w:ascii="Garamond" w:hAnsi="Garamond"/>
        </w:rPr>
        <w:t xml:space="preserve"> for support of the implementation and enforcement of the 2020 FBC </w:t>
      </w:r>
      <w:r w:rsidR="00CD32C7">
        <w:rPr>
          <w:rFonts w:ascii="Garamond" w:hAnsi="Garamond"/>
        </w:rPr>
        <w:t>and/or</w:t>
      </w:r>
      <w:r w:rsidR="00B911E1" w:rsidRPr="00CD32C7">
        <w:rPr>
          <w:rFonts w:ascii="Garamond" w:hAnsi="Garamond"/>
        </w:rPr>
        <w:t xml:space="preserve"> development of the 2023</w:t>
      </w:r>
      <w:r w:rsidRPr="00CD32C7">
        <w:rPr>
          <w:rFonts w:ascii="Garamond" w:hAnsi="Garamond"/>
        </w:rPr>
        <w:t xml:space="preserve"> FBC will be funded</w:t>
      </w:r>
      <w:r w:rsidR="002D3A7B" w:rsidRPr="00CD32C7">
        <w:rPr>
          <w:rFonts w:ascii="Garamond" w:hAnsi="Garamond"/>
        </w:rPr>
        <w:t xml:space="preserve"> by the Commission</w:t>
      </w:r>
      <w:r w:rsidR="00137BA7" w:rsidRPr="00CD32C7">
        <w:rPr>
          <w:rFonts w:ascii="Garamond" w:hAnsi="Garamond"/>
        </w:rPr>
        <w:t>,</w:t>
      </w:r>
      <w:r w:rsidRPr="00CD32C7">
        <w:rPr>
          <w:rFonts w:ascii="Garamond" w:hAnsi="Garamond"/>
        </w:rPr>
        <w:t xml:space="preserve"> and will not be </w:t>
      </w:r>
      <w:r w:rsidR="00137BA7" w:rsidRPr="00CD32C7">
        <w:rPr>
          <w:rFonts w:ascii="Garamond" w:hAnsi="Garamond"/>
        </w:rPr>
        <w:t xml:space="preserve">included in the prioritization </w:t>
      </w:r>
      <w:r w:rsidR="00FF09A2">
        <w:rPr>
          <w:rFonts w:ascii="Garamond" w:hAnsi="Garamond"/>
        </w:rPr>
        <w:t xml:space="preserve">ranking </w:t>
      </w:r>
      <w:r w:rsidR="00137BA7" w:rsidRPr="00CD32C7">
        <w:rPr>
          <w:rFonts w:ascii="Garamond" w:hAnsi="Garamond"/>
        </w:rPr>
        <w:t>exercise</w:t>
      </w:r>
      <w:r w:rsidRPr="00CD32C7">
        <w:rPr>
          <w:rFonts w:ascii="Garamond" w:hAnsi="Garamond"/>
        </w:rPr>
        <w:t>.</w:t>
      </w:r>
    </w:p>
    <w:p w14:paraId="03396384" w14:textId="2C1CF63E" w:rsidR="004E7C15" w:rsidRPr="00CD32C7" w:rsidRDefault="00632351" w:rsidP="001A5BD1">
      <w:pPr>
        <w:pStyle w:val="ListParagraph"/>
        <w:numPr>
          <w:ilvl w:val="0"/>
          <w:numId w:val="7"/>
        </w:numPr>
        <w:tabs>
          <w:tab w:val="left" w:pos="990"/>
        </w:tabs>
        <w:jc w:val="both"/>
        <w:rPr>
          <w:rFonts w:ascii="Garamond" w:hAnsi="Garamond"/>
        </w:rPr>
      </w:pPr>
      <w:r w:rsidRPr="00CD32C7">
        <w:rPr>
          <w:rFonts w:ascii="Garamond" w:hAnsi="Garamond"/>
        </w:rPr>
        <w:t>Remaining project prop</w:t>
      </w:r>
      <w:r w:rsidR="00C24711" w:rsidRPr="00CD32C7">
        <w:rPr>
          <w:rFonts w:ascii="Garamond" w:hAnsi="Garamond"/>
        </w:rPr>
        <w:t>osals</w:t>
      </w:r>
      <w:r w:rsidR="009345EB" w:rsidRPr="00CD32C7">
        <w:rPr>
          <w:rFonts w:ascii="Garamond" w:hAnsi="Garamond"/>
        </w:rPr>
        <w:t xml:space="preserve"> (5</w:t>
      </w:r>
      <w:r w:rsidR="00CD32C7">
        <w:rPr>
          <w:rFonts w:ascii="Garamond" w:hAnsi="Garamond"/>
        </w:rPr>
        <w:t>)</w:t>
      </w:r>
      <w:r w:rsidR="00AB3D49" w:rsidRPr="00CD32C7">
        <w:rPr>
          <w:rFonts w:ascii="Garamond" w:hAnsi="Garamond"/>
        </w:rPr>
        <w:t xml:space="preserve"> </w:t>
      </w:r>
      <w:r w:rsidR="00C24711" w:rsidRPr="00CD32C7">
        <w:rPr>
          <w:rFonts w:ascii="Garamond" w:hAnsi="Garamond"/>
        </w:rPr>
        <w:t>will be tested</w:t>
      </w:r>
      <w:r w:rsidR="00CD32C7">
        <w:rPr>
          <w:rFonts w:ascii="Garamond" w:hAnsi="Garamond"/>
        </w:rPr>
        <w:t xml:space="preserve"> in turn</w:t>
      </w:r>
      <w:r w:rsidR="00C24711" w:rsidRPr="00CD32C7">
        <w:rPr>
          <w:rFonts w:ascii="Garamond" w:hAnsi="Garamond"/>
        </w:rPr>
        <w:t xml:space="preserve"> </w:t>
      </w:r>
      <w:r w:rsidR="00AB3D49" w:rsidRPr="00CD32C7">
        <w:rPr>
          <w:rFonts w:ascii="Garamond" w:hAnsi="Garamond"/>
        </w:rPr>
        <w:t>with</w:t>
      </w:r>
      <w:r w:rsidR="00C24711" w:rsidRPr="00CD32C7">
        <w:rPr>
          <w:rFonts w:ascii="Garamond" w:hAnsi="Garamond"/>
        </w:rPr>
        <w:t xml:space="preserve"> a straw </w:t>
      </w:r>
      <w:r w:rsidRPr="00CD32C7">
        <w:rPr>
          <w:rFonts w:ascii="Garamond" w:hAnsi="Garamond"/>
        </w:rPr>
        <w:t xml:space="preserve">poll </w:t>
      </w:r>
      <w:r w:rsidR="00AB3D49" w:rsidRPr="00CD32C7">
        <w:rPr>
          <w:rFonts w:ascii="Garamond" w:hAnsi="Garamond"/>
        </w:rPr>
        <w:t xml:space="preserve">vote </w:t>
      </w:r>
      <w:r w:rsidRPr="00CD32C7">
        <w:rPr>
          <w:rFonts w:ascii="Garamond" w:hAnsi="Garamond"/>
        </w:rPr>
        <w:t xml:space="preserve">regarding whether </w:t>
      </w:r>
      <w:r w:rsidR="00137BA7" w:rsidRPr="00CD32C7">
        <w:rPr>
          <w:rFonts w:ascii="Garamond" w:hAnsi="Garamond"/>
        </w:rPr>
        <w:t xml:space="preserve">they </w:t>
      </w:r>
      <w:r w:rsidRPr="00CD32C7">
        <w:rPr>
          <w:rFonts w:ascii="Garamond" w:hAnsi="Garamond"/>
        </w:rPr>
        <w:t xml:space="preserve">meet the criteria for funding, those that achieve a 75% threshold on the straw poll will then </w:t>
      </w:r>
      <w:r w:rsidR="00CD32C7">
        <w:rPr>
          <w:rFonts w:ascii="Garamond" w:hAnsi="Garamond"/>
        </w:rPr>
        <w:t>be evaluated by the</w:t>
      </w:r>
      <w:r w:rsidR="00C24711" w:rsidRPr="00CD32C7">
        <w:rPr>
          <w:rFonts w:ascii="Garamond" w:hAnsi="Garamond"/>
        </w:rPr>
        <w:t xml:space="preserve"> </w:t>
      </w:r>
      <w:r w:rsidR="009345EB" w:rsidRPr="00CD32C7">
        <w:rPr>
          <w:rFonts w:ascii="Garamond" w:hAnsi="Garamond"/>
        </w:rPr>
        <w:t>HRAC</w:t>
      </w:r>
      <w:r w:rsidRPr="00CD32C7">
        <w:rPr>
          <w:rFonts w:ascii="Garamond" w:hAnsi="Garamond"/>
        </w:rPr>
        <w:t xml:space="preserve">. </w:t>
      </w:r>
      <w:r w:rsidR="001A5BD1" w:rsidRPr="00CD32C7">
        <w:rPr>
          <w:rFonts w:ascii="Garamond" w:hAnsi="Garamond"/>
        </w:rPr>
        <w:t>PI’s whose projects</w:t>
      </w:r>
      <w:r w:rsidRPr="00CD32C7">
        <w:rPr>
          <w:rFonts w:ascii="Garamond" w:hAnsi="Garamond"/>
        </w:rPr>
        <w:t xml:space="preserve"> don’t achieve </w:t>
      </w:r>
      <w:r w:rsidR="001A5BD1" w:rsidRPr="00CD32C7">
        <w:rPr>
          <w:rFonts w:ascii="Garamond" w:hAnsi="Garamond"/>
        </w:rPr>
        <w:t xml:space="preserve">a </w:t>
      </w:r>
      <w:r w:rsidR="00137BA7" w:rsidRPr="00CD32C7">
        <w:rPr>
          <w:rFonts w:ascii="Garamond" w:hAnsi="Garamond"/>
        </w:rPr>
        <w:t>75% straw</w:t>
      </w:r>
      <w:r w:rsidR="00C24711" w:rsidRPr="00CD32C7">
        <w:rPr>
          <w:rFonts w:ascii="Garamond" w:hAnsi="Garamond"/>
        </w:rPr>
        <w:t xml:space="preserve"> </w:t>
      </w:r>
      <w:r w:rsidR="00137BA7" w:rsidRPr="00CD32C7">
        <w:rPr>
          <w:rFonts w:ascii="Garamond" w:hAnsi="Garamond"/>
        </w:rPr>
        <w:t xml:space="preserve">pole </w:t>
      </w:r>
      <w:r w:rsidR="00C24711" w:rsidRPr="00CD32C7">
        <w:rPr>
          <w:rFonts w:ascii="Garamond" w:hAnsi="Garamond"/>
        </w:rPr>
        <w:t>level of support</w:t>
      </w:r>
      <w:r w:rsidR="00137BA7" w:rsidRPr="00CD32C7">
        <w:rPr>
          <w:rFonts w:ascii="Garamond" w:hAnsi="Garamond"/>
        </w:rPr>
        <w:t xml:space="preserve"> </w:t>
      </w:r>
      <w:r w:rsidR="001A5BD1" w:rsidRPr="00CD32C7">
        <w:rPr>
          <w:rFonts w:ascii="Garamond" w:hAnsi="Garamond"/>
        </w:rPr>
        <w:t xml:space="preserve">will be provided </w:t>
      </w:r>
      <w:r w:rsidR="001D1975" w:rsidRPr="00CD32C7">
        <w:rPr>
          <w:rFonts w:ascii="Garamond" w:hAnsi="Garamond"/>
        </w:rPr>
        <w:t xml:space="preserve">up to </w:t>
      </w:r>
      <w:r w:rsidR="004E7C15" w:rsidRPr="00CD32C7">
        <w:rPr>
          <w:rFonts w:ascii="Garamond" w:hAnsi="Garamond"/>
        </w:rPr>
        <w:t>3 minutes to address why their research project is consisten</w:t>
      </w:r>
      <w:r w:rsidR="001A5BD1" w:rsidRPr="00CD32C7">
        <w:rPr>
          <w:rFonts w:ascii="Garamond" w:hAnsi="Garamond"/>
        </w:rPr>
        <w:t xml:space="preserve">t with the criteria for funding prior to the </w:t>
      </w:r>
      <w:r w:rsidR="009345EB" w:rsidRPr="00CD32C7">
        <w:rPr>
          <w:rFonts w:ascii="Garamond" w:hAnsi="Garamond"/>
        </w:rPr>
        <w:t>HRAC’s</w:t>
      </w:r>
      <w:r w:rsidR="00CD32C7">
        <w:rPr>
          <w:rFonts w:ascii="Garamond" w:hAnsi="Garamond"/>
        </w:rPr>
        <w:t xml:space="preserve"> formal vote regarding which projects should be prioritized and recommended for funding by the Commission</w:t>
      </w:r>
      <w:r w:rsidR="00137BA7" w:rsidRPr="00CD32C7">
        <w:rPr>
          <w:rFonts w:ascii="Garamond" w:hAnsi="Garamond"/>
        </w:rPr>
        <w:t>.</w:t>
      </w:r>
    </w:p>
    <w:p w14:paraId="02040D9C" w14:textId="77D84335" w:rsidR="004E7C15" w:rsidRPr="00CD32C7" w:rsidRDefault="004E7C15" w:rsidP="004E7C15">
      <w:pPr>
        <w:pStyle w:val="ListParagraph"/>
        <w:numPr>
          <w:ilvl w:val="0"/>
          <w:numId w:val="7"/>
        </w:numPr>
        <w:tabs>
          <w:tab w:val="left" w:pos="990"/>
        </w:tabs>
        <w:jc w:val="both"/>
        <w:rPr>
          <w:rFonts w:ascii="Garamond" w:hAnsi="Garamond"/>
        </w:rPr>
      </w:pPr>
      <w:r w:rsidRPr="00CD32C7">
        <w:rPr>
          <w:rFonts w:ascii="Garamond" w:hAnsi="Garamond"/>
        </w:rPr>
        <w:t xml:space="preserve">PIs with projects that are deemed to meet the </w:t>
      </w:r>
      <w:r w:rsidR="00EC6665" w:rsidRPr="00CD32C7">
        <w:rPr>
          <w:rFonts w:ascii="Garamond" w:hAnsi="Garamond"/>
        </w:rPr>
        <w:t xml:space="preserve">criteria for funding will have </w:t>
      </w:r>
      <w:r w:rsidRPr="00CD32C7">
        <w:rPr>
          <w:rFonts w:ascii="Garamond" w:hAnsi="Garamond"/>
        </w:rPr>
        <w:t xml:space="preserve">5 minutes total to </w:t>
      </w:r>
      <w:r w:rsidR="00C366D1" w:rsidRPr="00CD32C7">
        <w:rPr>
          <w:rFonts w:ascii="Garamond" w:hAnsi="Garamond"/>
        </w:rPr>
        <w:t>review</w:t>
      </w:r>
      <w:r w:rsidRPr="00CD32C7">
        <w:rPr>
          <w:rFonts w:ascii="Garamond" w:hAnsi="Garamond"/>
        </w:rPr>
        <w:t xml:space="preserve"> their proposal</w:t>
      </w:r>
      <w:r w:rsidR="00C366D1" w:rsidRPr="00CD32C7">
        <w:rPr>
          <w:rFonts w:ascii="Garamond" w:hAnsi="Garamond"/>
        </w:rPr>
        <w:t xml:space="preserve"> with HRAC</w:t>
      </w:r>
      <w:r w:rsidRPr="00CD32C7">
        <w:rPr>
          <w:rFonts w:ascii="Garamond" w:hAnsi="Garamond"/>
        </w:rPr>
        <w:t>.</w:t>
      </w:r>
    </w:p>
    <w:p w14:paraId="7306E6EF" w14:textId="6E1F7745" w:rsidR="00282E36" w:rsidRPr="00CD32C7" w:rsidRDefault="00107A28" w:rsidP="00125ADA">
      <w:pPr>
        <w:pStyle w:val="ListParagraph"/>
        <w:numPr>
          <w:ilvl w:val="0"/>
          <w:numId w:val="7"/>
        </w:numPr>
        <w:tabs>
          <w:tab w:val="left" w:pos="990"/>
        </w:tabs>
        <w:spacing w:after="120"/>
        <w:jc w:val="both"/>
        <w:rPr>
          <w:rFonts w:ascii="Garamond" w:hAnsi="Garamond"/>
        </w:rPr>
      </w:pPr>
      <w:r w:rsidRPr="00CD32C7">
        <w:rPr>
          <w:rFonts w:ascii="Garamond" w:hAnsi="Garamond"/>
        </w:rPr>
        <w:t xml:space="preserve">Once all research project proposals </w:t>
      </w:r>
      <w:r w:rsidR="00026F23" w:rsidRPr="00CD32C7">
        <w:rPr>
          <w:rFonts w:ascii="Garamond" w:hAnsi="Garamond"/>
        </w:rPr>
        <w:t xml:space="preserve">meeting the criteria </w:t>
      </w:r>
      <w:r w:rsidRPr="00CD32C7">
        <w:rPr>
          <w:rFonts w:ascii="Garamond" w:hAnsi="Garamond"/>
        </w:rPr>
        <w:t xml:space="preserve">are presented by the </w:t>
      </w:r>
      <w:r w:rsidR="004E7C15" w:rsidRPr="00CD32C7">
        <w:rPr>
          <w:rFonts w:ascii="Garamond" w:hAnsi="Garamond"/>
        </w:rPr>
        <w:t>PIs</w:t>
      </w:r>
      <w:r w:rsidRPr="00CD32C7">
        <w:rPr>
          <w:rFonts w:ascii="Garamond" w:hAnsi="Garamond"/>
        </w:rPr>
        <w:t xml:space="preserve"> and public comment received, </w:t>
      </w:r>
      <w:r w:rsidR="009345EB" w:rsidRPr="00CD32C7">
        <w:rPr>
          <w:rFonts w:ascii="Garamond" w:hAnsi="Garamond"/>
        </w:rPr>
        <w:t>the HRAC</w:t>
      </w:r>
      <w:r w:rsidRPr="00CD32C7">
        <w:rPr>
          <w:rFonts w:ascii="Garamond" w:hAnsi="Garamond"/>
        </w:rPr>
        <w:t xml:space="preserve"> </w:t>
      </w:r>
      <w:r w:rsidR="004E7C15" w:rsidRPr="00CD32C7">
        <w:rPr>
          <w:rFonts w:ascii="Garamond" w:hAnsi="Garamond"/>
        </w:rPr>
        <w:t>will</w:t>
      </w:r>
      <w:r w:rsidRPr="00CD32C7">
        <w:rPr>
          <w:rFonts w:ascii="Garamond" w:hAnsi="Garamond"/>
        </w:rPr>
        <w:t xml:space="preserve"> participate in a </w:t>
      </w:r>
      <w:r w:rsidR="00E006EA" w:rsidRPr="00CD32C7">
        <w:rPr>
          <w:rFonts w:ascii="Garamond" w:hAnsi="Garamond"/>
        </w:rPr>
        <w:t>ranking</w:t>
      </w:r>
      <w:r w:rsidRPr="00CD32C7">
        <w:rPr>
          <w:rFonts w:ascii="Garamond" w:hAnsi="Garamond"/>
        </w:rPr>
        <w:t xml:space="preserve"> exercise to determine the </w:t>
      </w:r>
      <w:r w:rsidR="00B911E1" w:rsidRPr="00CD32C7">
        <w:rPr>
          <w:rFonts w:ascii="Garamond" w:hAnsi="Garamond"/>
        </w:rPr>
        <w:t xml:space="preserve">recommended </w:t>
      </w:r>
      <w:r w:rsidRPr="00CD32C7">
        <w:rPr>
          <w:rFonts w:ascii="Garamond" w:hAnsi="Garamond"/>
        </w:rPr>
        <w:t>priority</w:t>
      </w:r>
      <w:r w:rsidR="00B911E1" w:rsidRPr="00CD32C7">
        <w:rPr>
          <w:rFonts w:ascii="Garamond" w:hAnsi="Garamond"/>
        </w:rPr>
        <w:t xml:space="preserve"> for funding the</w:t>
      </w:r>
      <w:r w:rsidRPr="00CD32C7">
        <w:rPr>
          <w:rFonts w:ascii="Garamond" w:hAnsi="Garamond"/>
        </w:rPr>
        <w:t xml:space="preserve"> proposed project</w:t>
      </w:r>
      <w:r w:rsidR="00B911E1" w:rsidRPr="00CD32C7">
        <w:rPr>
          <w:rFonts w:ascii="Garamond" w:hAnsi="Garamond"/>
        </w:rPr>
        <w:t>s</w:t>
      </w:r>
      <w:r w:rsidRPr="00CD32C7">
        <w:rPr>
          <w:rFonts w:ascii="Garamond" w:hAnsi="Garamond"/>
        </w:rPr>
        <w:t xml:space="preserve"> based on the </w:t>
      </w:r>
      <w:r w:rsidR="006C306E" w:rsidRPr="00CD32C7">
        <w:rPr>
          <w:rFonts w:ascii="Garamond" w:hAnsi="Garamond"/>
        </w:rPr>
        <w:t>adopted</w:t>
      </w:r>
      <w:r w:rsidRPr="00CD32C7">
        <w:rPr>
          <w:rFonts w:ascii="Garamond" w:hAnsi="Garamond"/>
        </w:rPr>
        <w:t xml:space="preserve"> criteria and using the ten-point </w:t>
      </w:r>
      <w:r w:rsidR="006C306E" w:rsidRPr="00CD32C7">
        <w:rPr>
          <w:rFonts w:ascii="Garamond" w:hAnsi="Garamond"/>
        </w:rPr>
        <w:t>ranking</w:t>
      </w:r>
      <w:r w:rsidRPr="00CD32C7">
        <w:rPr>
          <w:rFonts w:ascii="Garamond" w:hAnsi="Garamond"/>
        </w:rPr>
        <w:t xml:space="preserve"> scale described in the </w:t>
      </w:r>
      <w:r w:rsidR="00E006EA" w:rsidRPr="00CD32C7">
        <w:rPr>
          <w:rFonts w:ascii="Garamond" w:hAnsi="Garamond"/>
        </w:rPr>
        <w:t>Ranking</w:t>
      </w:r>
      <w:r w:rsidRPr="00CD32C7">
        <w:rPr>
          <w:rFonts w:ascii="Garamond" w:hAnsi="Garamond"/>
        </w:rPr>
        <w:t xml:space="preserve"> Matrix.</w:t>
      </w:r>
      <w:r w:rsidR="00FF09A2">
        <w:rPr>
          <w:rFonts w:ascii="Garamond" w:hAnsi="Garamond"/>
        </w:rPr>
        <w:t xml:space="preserve"> The results will be presented to the Commission for their consideration during the August 4, 2020 Plenary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  <w:gridCol w:w="2385"/>
        <w:gridCol w:w="2385"/>
      </w:tblGrid>
      <w:tr w:rsidR="00D52D44" w:rsidRPr="00507E77" w14:paraId="24E3F511" w14:textId="77777777" w:rsidTr="00902973">
        <w:tc>
          <w:tcPr>
            <w:tcW w:w="9558" w:type="dxa"/>
            <w:shd w:val="clear" w:color="auto" w:fill="DAEEF3" w:themeFill="accent5" w:themeFillTint="33"/>
          </w:tcPr>
          <w:p w14:paraId="3B9A1F66" w14:textId="152CCA56" w:rsidR="00737CBD" w:rsidRPr="00590FB0" w:rsidRDefault="00125B03" w:rsidP="008E76AA">
            <w:pPr>
              <w:tabs>
                <w:tab w:val="left" w:pos="990"/>
              </w:tabs>
              <w:spacing w:line="360" w:lineRule="auto"/>
              <w:rPr>
                <w:rFonts w:ascii="Garamond" w:hAnsi="Garamond"/>
                <w:b/>
                <w:bCs/>
                <w:smallCaps/>
                <w:sz w:val="28"/>
                <w:szCs w:val="28"/>
              </w:rPr>
            </w:pPr>
            <w:r w:rsidRPr="00590FB0">
              <w:rPr>
                <w:rFonts w:ascii="Garamond" w:hAnsi="Garamond"/>
                <w:b/>
                <w:bCs/>
                <w:smallCaps/>
                <w:sz w:val="28"/>
                <w:szCs w:val="28"/>
              </w:rPr>
              <w:t>Proposed Research Project</w:t>
            </w:r>
            <w:r w:rsidR="003D7EB7" w:rsidRPr="00590FB0">
              <w:rPr>
                <w:rFonts w:ascii="Garamond" w:hAnsi="Garamond"/>
                <w:b/>
                <w:bCs/>
                <w:smallCaps/>
                <w:sz w:val="28"/>
                <w:szCs w:val="28"/>
              </w:rPr>
              <w:t xml:space="preserve"> Funding Analysis</w:t>
            </w:r>
          </w:p>
          <w:p w14:paraId="79F81786" w14:textId="25E2EFD5" w:rsidR="00D325E4" w:rsidRDefault="00D325E4" w:rsidP="00D325E4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</w:tabs>
              <w:rPr>
                <w:rFonts w:ascii="Garamond" w:hAnsi="Garamond"/>
                <w:bCs/>
              </w:rPr>
            </w:pPr>
            <w:r w:rsidRPr="00507E77">
              <w:rPr>
                <w:rFonts w:ascii="Garamond" w:hAnsi="Garamond"/>
                <w:bCs/>
              </w:rPr>
              <w:t>There is</w:t>
            </w:r>
            <w:r w:rsidR="009345EB" w:rsidRPr="00507E77">
              <w:rPr>
                <w:rFonts w:ascii="Garamond" w:hAnsi="Garamond"/>
                <w:bCs/>
              </w:rPr>
              <w:t xml:space="preserve"> ~$400,000 available for FY 2020-2021</w:t>
            </w:r>
            <w:r w:rsidRPr="00507E77">
              <w:rPr>
                <w:rFonts w:ascii="Garamond" w:hAnsi="Garamond"/>
                <w:bCs/>
              </w:rPr>
              <w:t xml:space="preserve"> funding.</w:t>
            </w:r>
          </w:p>
          <w:p w14:paraId="2CB29D5F" w14:textId="44528E3A" w:rsidR="00507E77" w:rsidRPr="00507E77" w:rsidRDefault="00507E77" w:rsidP="00D325E4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</w:tabs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>There are 4</w:t>
            </w:r>
            <w:r w:rsidRPr="00507E7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research </w:t>
            </w:r>
            <w:r w:rsidRPr="00507E77">
              <w:rPr>
                <w:rFonts w:ascii="Garamond" w:hAnsi="Garamond"/>
              </w:rPr>
              <w:t>project</w:t>
            </w:r>
            <w:r>
              <w:rPr>
                <w:rFonts w:ascii="Garamond" w:hAnsi="Garamond"/>
              </w:rPr>
              <w:t>s</w:t>
            </w:r>
            <w:r w:rsidRPr="00507E7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required for 2020 Code support or 2023</w:t>
            </w:r>
            <w:r w:rsidRPr="00507E77">
              <w:rPr>
                <w:rFonts w:ascii="Garamond" w:hAnsi="Garamond"/>
              </w:rPr>
              <w:t xml:space="preserve"> Code Development, requiring </w:t>
            </w:r>
            <w:r>
              <w:rPr>
                <w:rFonts w:ascii="Garamond" w:hAnsi="Garamond"/>
              </w:rPr>
              <w:t>$201,589</w:t>
            </w:r>
            <w:r w:rsidRPr="00507E77">
              <w:rPr>
                <w:rFonts w:ascii="Garamond" w:hAnsi="Garamond"/>
              </w:rPr>
              <w:t xml:space="preserve"> in funding.</w:t>
            </w:r>
          </w:p>
          <w:p w14:paraId="61360E7A" w14:textId="2E27222F" w:rsidR="008E76AA" w:rsidRPr="00590FB0" w:rsidRDefault="001E7B59" w:rsidP="00507E77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</w:tabs>
              <w:rPr>
                <w:rFonts w:ascii="Garamond" w:hAnsi="Garamond"/>
                <w:bCs/>
              </w:rPr>
            </w:pPr>
            <w:r w:rsidRPr="00507E77">
              <w:rPr>
                <w:rFonts w:ascii="Garamond" w:hAnsi="Garamond"/>
                <w:bCs/>
              </w:rPr>
              <w:t xml:space="preserve">There is a request </w:t>
            </w:r>
            <w:r w:rsidR="00AE7D70" w:rsidRPr="00507E77">
              <w:rPr>
                <w:rFonts w:ascii="Garamond" w:hAnsi="Garamond"/>
                <w:bCs/>
              </w:rPr>
              <w:t xml:space="preserve">for </w:t>
            </w:r>
            <w:r w:rsidRPr="00507E77">
              <w:rPr>
                <w:rFonts w:ascii="Garamond" w:hAnsi="Garamond"/>
                <w:bCs/>
              </w:rPr>
              <w:t>$</w:t>
            </w:r>
            <w:r w:rsidR="006F4FDD" w:rsidRPr="00507E77">
              <w:rPr>
                <w:rFonts w:ascii="Garamond" w:hAnsi="Garamond"/>
              </w:rPr>
              <w:t>481,049</w:t>
            </w:r>
            <w:r w:rsidR="009345EB" w:rsidRPr="00507E77">
              <w:rPr>
                <w:rFonts w:ascii="Garamond" w:hAnsi="Garamond"/>
              </w:rPr>
              <w:t xml:space="preserve"> in funding</w:t>
            </w:r>
            <w:r w:rsidR="00507E77">
              <w:rPr>
                <w:rFonts w:ascii="Garamond" w:hAnsi="Garamond"/>
              </w:rPr>
              <w:t xml:space="preserve"> for proposed research projects</w:t>
            </w:r>
            <w:r w:rsidR="00EF3688" w:rsidRPr="00507E77">
              <w:rPr>
                <w:rFonts w:ascii="Garamond" w:hAnsi="Garamond"/>
              </w:rPr>
              <w:t xml:space="preserve"> (5 projects)</w:t>
            </w:r>
            <w:r w:rsidR="009345EB" w:rsidRPr="00507E77">
              <w:rPr>
                <w:rFonts w:ascii="Garamond" w:hAnsi="Garamond"/>
              </w:rPr>
              <w:t>.</w:t>
            </w:r>
          </w:p>
          <w:p w14:paraId="2DB39AFE" w14:textId="78B35463" w:rsidR="00590FB0" w:rsidRPr="00507E77" w:rsidRDefault="00590FB0" w:rsidP="00507E77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</w:tabs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 xml:space="preserve">Once prioritized and approved by the Commission, staff will fund the research projects in priority order for FY 2020-2021 based on the </w:t>
            </w:r>
            <w:r w:rsidR="00FF09A2">
              <w:rPr>
                <w:rFonts w:ascii="Garamond" w:hAnsi="Garamond"/>
              </w:rPr>
              <w:t xml:space="preserve">remaining </w:t>
            </w:r>
            <w:r>
              <w:rPr>
                <w:rFonts w:ascii="Garamond" w:hAnsi="Garamond"/>
              </w:rPr>
              <w:t>funding available after funding the 4 required projects.</w:t>
            </w:r>
          </w:p>
          <w:p w14:paraId="3FC9E4DC" w14:textId="1027C826" w:rsidR="00D325E4" w:rsidRPr="00507E77" w:rsidRDefault="00D325E4" w:rsidP="00D325E4">
            <w:pPr>
              <w:tabs>
                <w:tab w:val="left" w:pos="990"/>
              </w:tabs>
              <w:rPr>
                <w:rFonts w:ascii="Garamond" w:hAnsi="Garamond"/>
                <w:bCs/>
              </w:rPr>
            </w:pPr>
          </w:p>
        </w:tc>
        <w:tc>
          <w:tcPr>
            <w:tcW w:w="4770" w:type="dxa"/>
            <w:gridSpan w:val="2"/>
            <w:shd w:val="clear" w:color="auto" w:fill="DAEEF3" w:themeFill="accent5" w:themeFillTint="33"/>
          </w:tcPr>
          <w:p w14:paraId="44879A86" w14:textId="29F1475D" w:rsidR="00125B03" w:rsidRPr="00507E77" w:rsidRDefault="00125B03" w:rsidP="00902973">
            <w:pPr>
              <w:tabs>
                <w:tab w:val="left" w:pos="990"/>
              </w:tabs>
              <w:jc w:val="both"/>
              <w:rPr>
                <w:rFonts w:ascii="Garamond" w:hAnsi="Garamond"/>
                <w:b/>
                <w:bCs/>
                <w:smallCaps/>
                <w:sz w:val="28"/>
                <w:szCs w:val="28"/>
              </w:rPr>
            </w:pPr>
            <w:r w:rsidRPr="00507E77">
              <w:rPr>
                <w:rFonts w:ascii="Garamond" w:hAnsi="Garamond"/>
                <w:b/>
                <w:bCs/>
                <w:smallCaps/>
                <w:sz w:val="28"/>
                <w:szCs w:val="28"/>
              </w:rPr>
              <w:t>Criteria for Funding</w:t>
            </w:r>
          </w:p>
          <w:p w14:paraId="75CC8C17" w14:textId="2E347685" w:rsidR="00125B03" w:rsidRPr="00507E77" w:rsidRDefault="00125B03" w:rsidP="00902973">
            <w:pPr>
              <w:tabs>
                <w:tab w:val="left" w:pos="990"/>
              </w:tabs>
              <w:jc w:val="both"/>
              <w:rPr>
                <w:rFonts w:ascii="Garamond" w:hAnsi="Garamond"/>
                <w:bCs/>
              </w:rPr>
            </w:pPr>
            <w:r w:rsidRPr="00507E77">
              <w:rPr>
                <w:rFonts w:ascii="Garamond" w:hAnsi="Garamond"/>
                <w:bCs/>
              </w:rPr>
              <w:t xml:space="preserve">For Each Project In </w:t>
            </w:r>
            <w:r w:rsidR="00590FB0">
              <w:rPr>
                <w:rFonts w:ascii="Garamond" w:hAnsi="Garamond"/>
                <w:bCs/>
              </w:rPr>
              <w:t>Turn Does the Project Meet the 3</w:t>
            </w:r>
            <w:r w:rsidRPr="00507E77">
              <w:rPr>
                <w:rFonts w:ascii="Garamond" w:hAnsi="Garamond"/>
                <w:bCs/>
              </w:rPr>
              <w:t xml:space="preserve"> Criteria</w:t>
            </w:r>
            <w:r w:rsidR="00F96387" w:rsidRPr="00507E77">
              <w:rPr>
                <w:rFonts w:ascii="Garamond" w:hAnsi="Garamond"/>
                <w:bCs/>
              </w:rPr>
              <w:t xml:space="preserve"> for Funding</w:t>
            </w:r>
            <w:r w:rsidRPr="00507E77">
              <w:rPr>
                <w:rFonts w:ascii="Garamond" w:hAnsi="Garamond"/>
                <w:bCs/>
              </w:rPr>
              <w:t>?</w:t>
            </w:r>
          </w:p>
          <w:p w14:paraId="405A56A6" w14:textId="20094CE8" w:rsidR="00125B03" w:rsidRPr="00507E77" w:rsidRDefault="002B05C6" w:rsidP="00902973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</w:tabs>
              <w:jc w:val="both"/>
              <w:rPr>
                <w:rFonts w:ascii="Garamond" w:hAnsi="Garamond"/>
                <w:bCs/>
              </w:rPr>
            </w:pPr>
            <w:r w:rsidRPr="00507E77">
              <w:rPr>
                <w:rFonts w:ascii="Garamond" w:hAnsi="Garamond"/>
                <w:bCs/>
              </w:rPr>
              <w:t>Meets Definition</w:t>
            </w:r>
            <w:r w:rsidR="00125B03" w:rsidRPr="00507E77">
              <w:rPr>
                <w:rFonts w:ascii="Garamond" w:hAnsi="Garamond"/>
                <w:bCs/>
              </w:rPr>
              <w:t xml:space="preserve"> of “Research” and</w:t>
            </w:r>
            <w:r w:rsidRPr="00507E77">
              <w:rPr>
                <w:rFonts w:ascii="Garamond" w:hAnsi="Garamond"/>
                <w:bCs/>
              </w:rPr>
              <w:t>/or</w:t>
            </w:r>
            <w:r w:rsidR="00125B03" w:rsidRPr="00507E77">
              <w:rPr>
                <w:rFonts w:ascii="Garamond" w:hAnsi="Garamond"/>
                <w:bCs/>
              </w:rPr>
              <w:t xml:space="preserve"> “Technical Enrichment</w:t>
            </w:r>
            <w:r w:rsidR="00590FB0">
              <w:rPr>
                <w:rFonts w:ascii="Garamond" w:hAnsi="Garamond"/>
                <w:bCs/>
              </w:rPr>
              <w:t>.</w:t>
            </w:r>
            <w:r w:rsidR="00125B03" w:rsidRPr="00507E77">
              <w:rPr>
                <w:rFonts w:ascii="Garamond" w:hAnsi="Garamond"/>
                <w:bCs/>
              </w:rPr>
              <w:t>”</w:t>
            </w:r>
          </w:p>
          <w:p w14:paraId="1D47457F" w14:textId="1FD81CAD" w:rsidR="002D3A7B" w:rsidRPr="00507E77" w:rsidRDefault="002D3A7B" w:rsidP="00902973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</w:tabs>
              <w:jc w:val="both"/>
              <w:rPr>
                <w:rFonts w:ascii="Garamond" w:hAnsi="Garamond"/>
                <w:bCs/>
              </w:rPr>
            </w:pPr>
            <w:r w:rsidRPr="00507E77">
              <w:rPr>
                <w:rFonts w:ascii="Garamond" w:hAnsi="Garamond"/>
                <w:bCs/>
              </w:rPr>
              <w:t xml:space="preserve">Within the scope of </w:t>
            </w:r>
            <w:r w:rsidRPr="00507E77">
              <w:rPr>
                <w:rFonts w:ascii="Garamond" w:hAnsi="Garamond" w:cs="Calibri"/>
              </w:rPr>
              <w:t>hurricane resistance research (water and wind resistance)</w:t>
            </w:r>
            <w:r w:rsidR="00590FB0">
              <w:rPr>
                <w:rFonts w:ascii="Garamond" w:hAnsi="Garamond" w:cs="Calibri"/>
              </w:rPr>
              <w:t>.</w:t>
            </w:r>
          </w:p>
          <w:p w14:paraId="05303167" w14:textId="2FE4D45A" w:rsidR="00590FB0" w:rsidRPr="00FF09A2" w:rsidRDefault="00125B03" w:rsidP="00FF09A2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</w:tabs>
              <w:jc w:val="both"/>
              <w:rPr>
                <w:rFonts w:ascii="Garamond" w:hAnsi="Garamond"/>
                <w:bCs/>
              </w:rPr>
            </w:pPr>
            <w:r w:rsidRPr="00507E77">
              <w:rPr>
                <w:rFonts w:ascii="Garamond" w:hAnsi="Garamond"/>
                <w:bCs/>
              </w:rPr>
              <w:t>Urgency/I</w:t>
            </w:r>
            <w:r w:rsidR="00FF09A2">
              <w:rPr>
                <w:rFonts w:ascii="Garamond" w:hAnsi="Garamond"/>
                <w:bCs/>
              </w:rPr>
              <w:t xml:space="preserve">mmediacy: </w:t>
            </w:r>
            <w:r w:rsidR="004A3371" w:rsidRPr="00507E77">
              <w:rPr>
                <w:rFonts w:ascii="Garamond" w:hAnsi="Garamond"/>
                <w:bCs/>
              </w:rPr>
              <w:t xml:space="preserve">Needed </w:t>
            </w:r>
            <w:r w:rsidR="002D3A7B" w:rsidRPr="00507E77">
              <w:rPr>
                <w:rFonts w:ascii="Garamond" w:hAnsi="Garamond"/>
                <w:bCs/>
              </w:rPr>
              <w:t>to support</w:t>
            </w:r>
            <w:r w:rsidR="004A3371" w:rsidRPr="00507E77">
              <w:rPr>
                <w:rFonts w:ascii="Garamond" w:hAnsi="Garamond"/>
                <w:bCs/>
              </w:rPr>
              <w:t xml:space="preserve"> the 2020</w:t>
            </w:r>
            <w:r w:rsidR="00F96387" w:rsidRPr="00507E77">
              <w:rPr>
                <w:rFonts w:ascii="Garamond" w:hAnsi="Garamond"/>
                <w:bCs/>
              </w:rPr>
              <w:t xml:space="preserve"> Florida Building Code</w:t>
            </w:r>
            <w:r w:rsidR="001D7DE2" w:rsidRPr="00507E77">
              <w:rPr>
                <w:rFonts w:ascii="Garamond" w:hAnsi="Garamond"/>
                <w:bCs/>
              </w:rPr>
              <w:t xml:space="preserve">, </w:t>
            </w:r>
            <w:r w:rsidR="002D3A7B" w:rsidRPr="00507E77">
              <w:rPr>
                <w:rFonts w:ascii="Garamond" w:hAnsi="Garamond"/>
                <w:bCs/>
              </w:rPr>
              <w:t>or for the development of 2023 FBC</w:t>
            </w:r>
            <w:r w:rsidR="00590FB0">
              <w:rPr>
                <w:rFonts w:ascii="Garamond" w:hAnsi="Garamond"/>
                <w:bCs/>
              </w:rPr>
              <w:t>.</w:t>
            </w:r>
          </w:p>
        </w:tc>
      </w:tr>
      <w:tr w:rsidR="00D52D44" w:rsidRPr="00507E77" w14:paraId="246A581E" w14:textId="77777777" w:rsidTr="00902973">
        <w:tc>
          <w:tcPr>
            <w:tcW w:w="9558" w:type="dxa"/>
            <w:shd w:val="clear" w:color="auto" w:fill="4F81BD" w:themeFill="accent1"/>
          </w:tcPr>
          <w:p w14:paraId="583D4CF0" w14:textId="2B2DD75B" w:rsidR="00DA5A2F" w:rsidRPr="00507E77" w:rsidRDefault="00AE6A05" w:rsidP="009345EB">
            <w:pPr>
              <w:tabs>
                <w:tab w:val="left" w:pos="990"/>
              </w:tabs>
              <w:spacing w:before="120" w:after="120"/>
              <w:rPr>
                <w:rFonts w:ascii="Garamond" w:hAnsi="Garamond"/>
                <w:b/>
                <w:bCs/>
                <w:smallCaps/>
                <w:color w:val="FFFFFF" w:themeColor="background1"/>
              </w:rPr>
            </w:pPr>
            <w:r w:rsidRPr="00507E77">
              <w:rPr>
                <w:rFonts w:ascii="Garamond" w:hAnsi="Garamond"/>
                <w:b/>
                <w:bCs/>
                <w:smallCaps/>
                <w:color w:val="FFFFFF" w:themeColor="background1"/>
              </w:rPr>
              <w:t>Project Description; (PI/Researcher); [Project Cost]</w:t>
            </w:r>
          </w:p>
        </w:tc>
        <w:tc>
          <w:tcPr>
            <w:tcW w:w="2385" w:type="dxa"/>
            <w:shd w:val="clear" w:color="auto" w:fill="4F81BD" w:themeFill="accent1"/>
          </w:tcPr>
          <w:p w14:paraId="42BD8321" w14:textId="37F13985" w:rsidR="00DA5A2F" w:rsidRPr="00507E77" w:rsidRDefault="00125B03" w:rsidP="006F00B8">
            <w:pPr>
              <w:tabs>
                <w:tab w:val="left" w:pos="990"/>
              </w:tabs>
              <w:spacing w:before="120" w:after="120"/>
              <w:jc w:val="center"/>
              <w:rPr>
                <w:rFonts w:ascii="Garamond" w:hAnsi="Garamond"/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507E77">
              <w:rPr>
                <w:rFonts w:ascii="Garamond" w:hAnsi="Garamond"/>
                <w:b/>
                <w:bCs/>
                <w:smallCaps/>
                <w:color w:val="FFFFFF" w:themeColor="background1"/>
                <w:sz w:val="28"/>
                <w:szCs w:val="28"/>
              </w:rPr>
              <w:t>Yes</w:t>
            </w:r>
          </w:p>
        </w:tc>
        <w:tc>
          <w:tcPr>
            <w:tcW w:w="2385" w:type="dxa"/>
            <w:shd w:val="clear" w:color="auto" w:fill="4F81BD" w:themeFill="accent1"/>
          </w:tcPr>
          <w:p w14:paraId="7B5C710F" w14:textId="3C3872F7" w:rsidR="00DA5A2F" w:rsidRPr="00507E77" w:rsidRDefault="00125B03" w:rsidP="006F00B8">
            <w:pPr>
              <w:tabs>
                <w:tab w:val="left" w:pos="990"/>
              </w:tabs>
              <w:spacing w:before="120" w:after="120"/>
              <w:jc w:val="center"/>
              <w:rPr>
                <w:rFonts w:ascii="Garamond" w:hAnsi="Garamond"/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507E77">
              <w:rPr>
                <w:rFonts w:ascii="Garamond" w:hAnsi="Garamond"/>
                <w:b/>
                <w:bCs/>
                <w:smallCaps/>
                <w:color w:val="FFFFFF" w:themeColor="background1"/>
                <w:sz w:val="28"/>
                <w:szCs w:val="28"/>
              </w:rPr>
              <w:t>No</w:t>
            </w:r>
          </w:p>
        </w:tc>
      </w:tr>
      <w:tr w:rsidR="00D52D44" w:rsidRPr="00507E77" w14:paraId="7FCDA5FF" w14:textId="77777777" w:rsidTr="00492797">
        <w:tc>
          <w:tcPr>
            <w:tcW w:w="9558" w:type="dxa"/>
            <w:shd w:val="clear" w:color="auto" w:fill="auto"/>
          </w:tcPr>
          <w:p w14:paraId="4F01969E" w14:textId="18AB94D4" w:rsidR="00125B03" w:rsidRPr="00507E77" w:rsidRDefault="00125B03" w:rsidP="009345EB">
            <w:pPr>
              <w:autoSpaceDE w:val="0"/>
              <w:autoSpaceDN w:val="0"/>
              <w:adjustRightInd w:val="0"/>
              <w:ind w:left="360" w:hanging="360"/>
              <w:rPr>
                <w:rFonts w:ascii="Garamond" w:hAnsi="Garamond"/>
              </w:rPr>
            </w:pPr>
            <w:r w:rsidRPr="00507E77">
              <w:rPr>
                <w:rFonts w:ascii="Garamond" w:hAnsi="Garamond"/>
                <w:b/>
              </w:rPr>
              <w:t xml:space="preserve">1.) </w:t>
            </w:r>
            <w:r w:rsidR="009345EB" w:rsidRPr="00507E77">
              <w:rPr>
                <w:rFonts w:ascii="Garamond" w:hAnsi="Garamond"/>
                <w:b/>
                <w:color w:val="000000"/>
              </w:rPr>
              <w:t>Wind Loading on Elevated Residential Structures (FIU/UF) [$150,000]</w:t>
            </w:r>
          </w:p>
        </w:tc>
        <w:tc>
          <w:tcPr>
            <w:tcW w:w="2385" w:type="dxa"/>
            <w:shd w:val="clear" w:color="auto" w:fill="auto"/>
          </w:tcPr>
          <w:p w14:paraId="0AFBFC2D" w14:textId="3316B59E" w:rsidR="00125B03" w:rsidRPr="00507E77" w:rsidRDefault="00125B03" w:rsidP="009345EB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85" w:type="dxa"/>
            <w:shd w:val="clear" w:color="auto" w:fill="auto"/>
          </w:tcPr>
          <w:p w14:paraId="0005F67C" w14:textId="2370F704" w:rsidR="00125B03" w:rsidRPr="00507E77" w:rsidRDefault="00125B03" w:rsidP="009345EB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D52D44" w:rsidRPr="00507E77" w14:paraId="2674CB7F" w14:textId="77777777" w:rsidTr="009345EB">
        <w:trPr>
          <w:trHeight w:val="305"/>
        </w:trPr>
        <w:tc>
          <w:tcPr>
            <w:tcW w:w="9558" w:type="dxa"/>
            <w:shd w:val="clear" w:color="auto" w:fill="auto"/>
          </w:tcPr>
          <w:p w14:paraId="1EC3408E" w14:textId="09794988" w:rsidR="00CB4FB8" w:rsidRPr="00507E77" w:rsidRDefault="00DA5A2F" w:rsidP="009345EB">
            <w:pPr>
              <w:autoSpaceDE w:val="0"/>
              <w:autoSpaceDN w:val="0"/>
              <w:adjustRightInd w:val="0"/>
              <w:contextualSpacing/>
              <w:rPr>
                <w:rFonts w:ascii="Garamond" w:eastAsia="Cambria" w:hAnsi="Garamond" w:cs="Calibri"/>
              </w:rPr>
            </w:pPr>
            <w:r w:rsidRPr="00507E77">
              <w:rPr>
                <w:rFonts w:ascii="Garamond" w:hAnsi="Garamond"/>
                <w:b/>
              </w:rPr>
              <w:t xml:space="preserve">2.) </w:t>
            </w:r>
            <w:r w:rsidR="009345EB" w:rsidRPr="00507E77">
              <w:rPr>
                <w:rFonts w:ascii="Garamond" w:hAnsi="Garamond"/>
                <w:b/>
                <w:color w:val="000000"/>
              </w:rPr>
              <w:t>Wind-Induced Loads on Roof Overhangs (FIU) [$150,000]</w:t>
            </w:r>
          </w:p>
        </w:tc>
        <w:tc>
          <w:tcPr>
            <w:tcW w:w="2385" w:type="dxa"/>
            <w:shd w:val="clear" w:color="auto" w:fill="auto"/>
          </w:tcPr>
          <w:p w14:paraId="43905044" w14:textId="09424C96" w:rsidR="00DA5A2F" w:rsidRPr="00507E77" w:rsidRDefault="00DA5A2F" w:rsidP="009345EB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14:paraId="126421E3" w14:textId="15E23DFE" w:rsidR="00DA5A2F" w:rsidRPr="00507E77" w:rsidRDefault="00DA5A2F" w:rsidP="009345EB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D52D44" w:rsidRPr="00507E77" w14:paraId="74263884" w14:textId="77777777" w:rsidTr="00492797">
        <w:tc>
          <w:tcPr>
            <w:tcW w:w="9558" w:type="dxa"/>
            <w:shd w:val="clear" w:color="auto" w:fill="auto"/>
          </w:tcPr>
          <w:p w14:paraId="69AF8C4B" w14:textId="2D074EC9" w:rsidR="0051653C" w:rsidRPr="00507E77" w:rsidRDefault="00DA5A2F" w:rsidP="009345EB">
            <w:pPr>
              <w:autoSpaceDE w:val="0"/>
              <w:autoSpaceDN w:val="0"/>
              <w:adjustRightInd w:val="0"/>
              <w:rPr>
                <w:rFonts w:ascii="Garamond" w:eastAsia="Cambria" w:hAnsi="Garamond" w:cs="Calibri"/>
                <w:b/>
              </w:rPr>
            </w:pPr>
            <w:r w:rsidRPr="00507E77">
              <w:rPr>
                <w:rFonts w:ascii="Garamond" w:hAnsi="Garamond"/>
                <w:b/>
              </w:rPr>
              <w:t xml:space="preserve">3.) </w:t>
            </w:r>
            <w:r w:rsidR="009345EB" w:rsidRPr="00507E77">
              <w:rPr>
                <w:rFonts w:ascii="Garamond" w:hAnsi="Garamond"/>
                <w:b/>
                <w:color w:val="000000"/>
              </w:rPr>
              <w:t xml:space="preserve">Updating the Statewide Extreme Rainfall Projections </w:t>
            </w:r>
            <w:r w:rsidR="00125ADA" w:rsidRPr="00507E77">
              <w:rPr>
                <w:rFonts w:ascii="Garamond" w:hAnsi="Garamond"/>
                <w:b/>
                <w:color w:val="000000"/>
              </w:rPr>
              <w:t>(</w:t>
            </w:r>
            <w:r w:rsidR="009345EB" w:rsidRPr="00507E77">
              <w:rPr>
                <w:rFonts w:ascii="Garamond" w:hAnsi="Garamond"/>
                <w:b/>
                <w:color w:val="000000"/>
              </w:rPr>
              <w:t>FIU</w:t>
            </w:r>
            <w:r w:rsidR="00125ADA" w:rsidRPr="00507E77">
              <w:rPr>
                <w:rFonts w:ascii="Garamond" w:hAnsi="Garamond"/>
                <w:b/>
                <w:color w:val="000000"/>
              </w:rPr>
              <w:t>)</w:t>
            </w:r>
            <w:r w:rsidR="009345EB" w:rsidRPr="00507E77">
              <w:rPr>
                <w:rFonts w:ascii="Garamond" w:hAnsi="Garamond"/>
                <w:b/>
                <w:color w:val="000000"/>
              </w:rPr>
              <w:t xml:space="preserve"> [$137,124]</w:t>
            </w:r>
          </w:p>
        </w:tc>
        <w:tc>
          <w:tcPr>
            <w:tcW w:w="2385" w:type="dxa"/>
            <w:shd w:val="clear" w:color="auto" w:fill="auto"/>
          </w:tcPr>
          <w:p w14:paraId="0EA60C30" w14:textId="4F80D655" w:rsidR="00DA5A2F" w:rsidRPr="00507E77" w:rsidRDefault="00DA5A2F" w:rsidP="009345EB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85" w:type="dxa"/>
            <w:shd w:val="clear" w:color="auto" w:fill="auto"/>
          </w:tcPr>
          <w:p w14:paraId="132E5958" w14:textId="67612C02" w:rsidR="00DA5A2F" w:rsidRPr="00507E77" w:rsidRDefault="00DA5A2F" w:rsidP="009345EB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D52D44" w:rsidRPr="00507E77" w14:paraId="406862E6" w14:textId="77777777" w:rsidTr="00492797">
        <w:tc>
          <w:tcPr>
            <w:tcW w:w="9558" w:type="dxa"/>
            <w:shd w:val="clear" w:color="auto" w:fill="auto"/>
          </w:tcPr>
          <w:p w14:paraId="79531EF4" w14:textId="32C58F9D" w:rsidR="00E20011" w:rsidRPr="00507E77" w:rsidRDefault="00DA5A2F" w:rsidP="009345EB">
            <w:pPr>
              <w:rPr>
                <w:rFonts w:ascii="Garamond" w:eastAsia="Cambria" w:hAnsi="Garamond" w:cs="Calibri"/>
              </w:rPr>
            </w:pPr>
            <w:r w:rsidRPr="00507E77">
              <w:rPr>
                <w:rFonts w:ascii="Garamond" w:hAnsi="Garamond"/>
                <w:b/>
              </w:rPr>
              <w:t xml:space="preserve">4.) </w:t>
            </w:r>
            <w:r w:rsidR="009345EB" w:rsidRPr="00507E77">
              <w:rPr>
                <w:rFonts w:ascii="Garamond" w:hAnsi="Garamond"/>
                <w:b/>
                <w:color w:val="000000"/>
              </w:rPr>
              <w:t>Appendix with Optional Enhanced Constru</w:t>
            </w:r>
            <w:r w:rsidR="00151579" w:rsidRPr="00507E77">
              <w:rPr>
                <w:rFonts w:ascii="Garamond" w:hAnsi="Garamond"/>
                <w:b/>
                <w:color w:val="000000"/>
              </w:rPr>
              <w:t>ction Techniques (FDEM) [$23,925</w:t>
            </w:r>
            <w:r w:rsidR="009345EB" w:rsidRPr="00507E77">
              <w:rPr>
                <w:rFonts w:ascii="Garamond" w:hAnsi="Garamond"/>
                <w:b/>
                <w:color w:val="000000"/>
              </w:rPr>
              <w:t>]</w:t>
            </w:r>
          </w:p>
        </w:tc>
        <w:tc>
          <w:tcPr>
            <w:tcW w:w="2385" w:type="dxa"/>
            <w:shd w:val="clear" w:color="auto" w:fill="auto"/>
          </w:tcPr>
          <w:p w14:paraId="04D7725A" w14:textId="1CAB4B6E" w:rsidR="00DA5A2F" w:rsidRPr="00507E77" w:rsidRDefault="00DA5A2F" w:rsidP="009345EB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85" w:type="dxa"/>
            <w:shd w:val="clear" w:color="auto" w:fill="auto"/>
          </w:tcPr>
          <w:p w14:paraId="584A95F9" w14:textId="3F3ECD92" w:rsidR="00DA5A2F" w:rsidRPr="00507E77" w:rsidRDefault="00DA5A2F" w:rsidP="009345EB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D52D44" w:rsidRPr="00507E77" w14:paraId="06BDA8FE" w14:textId="77777777" w:rsidTr="00492797">
        <w:tc>
          <w:tcPr>
            <w:tcW w:w="9558" w:type="dxa"/>
            <w:shd w:val="clear" w:color="auto" w:fill="auto"/>
          </w:tcPr>
          <w:p w14:paraId="61DEFC23" w14:textId="7C2AF75F" w:rsidR="0051653C" w:rsidRPr="00507E77" w:rsidRDefault="00F96387" w:rsidP="009345EB">
            <w:pPr>
              <w:rPr>
                <w:rFonts w:ascii="Garamond" w:hAnsi="Garamond"/>
                <w:b/>
              </w:rPr>
            </w:pPr>
            <w:r w:rsidRPr="00507E77">
              <w:rPr>
                <w:rFonts w:ascii="Garamond" w:hAnsi="Garamond"/>
                <w:b/>
              </w:rPr>
              <w:t xml:space="preserve">5.) </w:t>
            </w:r>
            <w:r w:rsidR="009345EB" w:rsidRPr="00507E77">
              <w:rPr>
                <w:rFonts w:ascii="Garamond" w:hAnsi="Garamond"/>
                <w:b/>
                <w:color w:val="000000"/>
              </w:rPr>
              <w:t>Wind Speed Line Maps Web Viewer (UF) [$20,000]</w:t>
            </w:r>
          </w:p>
        </w:tc>
        <w:tc>
          <w:tcPr>
            <w:tcW w:w="2385" w:type="dxa"/>
            <w:shd w:val="clear" w:color="auto" w:fill="auto"/>
          </w:tcPr>
          <w:p w14:paraId="427BA2C1" w14:textId="0F9EDE44" w:rsidR="00F96387" w:rsidRPr="00507E77" w:rsidRDefault="00F96387" w:rsidP="009345EB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85" w:type="dxa"/>
            <w:shd w:val="clear" w:color="auto" w:fill="auto"/>
          </w:tcPr>
          <w:p w14:paraId="1C1FB05D" w14:textId="283974B3" w:rsidR="00F96387" w:rsidRPr="00507E77" w:rsidRDefault="00F96387" w:rsidP="009345EB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14:paraId="5C3FBB9B" w14:textId="4029FE98" w:rsidR="00107A28" w:rsidRPr="00507E77" w:rsidRDefault="00107A28" w:rsidP="00EF3576">
      <w:pPr>
        <w:pStyle w:val="Sub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8" w:color="auto"/>
        </w:pBdr>
        <w:shd w:val="clear" w:color="auto" w:fill="CCFFFF"/>
        <w:tabs>
          <w:tab w:val="left" w:pos="990"/>
        </w:tabs>
        <w:spacing w:line="240" w:lineRule="auto"/>
        <w:rPr>
          <w:rFonts w:ascii="Garamond" w:hAnsi="Garamond"/>
          <w:smallCaps/>
          <w:sz w:val="28"/>
          <w:szCs w:val="28"/>
        </w:rPr>
      </w:pPr>
      <w:r w:rsidRPr="00507E77">
        <w:rPr>
          <w:rFonts w:ascii="Garamond" w:hAnsi="Garamond"/>
          <w:smallCaps/>
          <w:sz w:val="28"/>
          <w:szCs w:val="28"/>
        </w:rPr>
        <w:lastRenderedPageBreak/>
        <w:t xml:space="preserve">Prioritization </w:t>
      </w:r>
      <w:r w:rsidR="009526C3" w:rsidRPr="00507E77">
        <w:rPr>
          <w:rFonts w:ascii="Garamond" w:hAnsi="Garamond"/>
          <w:smallCaps/>
          <w:sz w:val="28"/>
          <w:szCs w:val="28"/>
        </w:rPr>
        <w:t>Ranking</w:t>
      </w:r>
      <w:r w:rsidRPr="00507E77">
        <w:rPr>
          <w:rFonts w:ascii="Garamond" w:hAnsi="Garamond"/>
          <w:smallCaps/>
          <w:sz w:val="28"/>
          <w:szCs w:val="28"/>
        </w:rPr>
        <w:t xml:space="preserve"> Scale</w:t>
      </w:r>
      <w:r w:rsidR="00EF3576">
        <w:rPr>
          <w:rFonts w:ascii="Garamond" w:hAnsi="Garamond"/>
          <w:smallCaps/>
          <w:sz w:val="28"/>
          <w:szCs w:val="28"/>
        </w:rPr>
        <w:t>—</w:t>
      </w:r>
      <w:bookmarkStart w:id="0" w:name="_GoBack"/>
      <w:bookmarkEnd w:id="0"/>
      <w:r w:rsidRPr="00CD32C7">
        <w:rPr>
          <w:rFonts w:ascii="Garamond" w:hAnsi="Garamond"/>
          <w:bCs/>
          <w:smallCaps/>
          <w:sz w:val="28"/>
          <w:szCs w:val="28"/>
        </w:rPr>
        <w:t>Scale Range</w:t>
      </w:r>
      <w:r w:rsidRPr="00507E77">
        <w:rPr>
          <w:rFonts w:ascii="Garamond" w:hAnsi="Garamond"/>
          <w:sz w:val="28"/>
          <w:szCs w:val="28"/>
        </w:rPr>
        <w:t xml:space="preserve"> 10 - 1 (10 highest rating to 1 lowest rating)</w:t>
      </w:r>
    </w:p>
    <w:p w14:paraId="140D16C8" w14:textId="77777777" w:rsidR="00107A28" w:rsidRPr="00507E77" w:rsidRDefault="00107A28" w:rsidP="00AB5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8" w:color="auto"/>
        </w:pBdr>
        <w:shd w:val="clear" w:color="auto" w:fill="CCFFFF"/>
        <w:tabs>
          <w:tab w:val="left" w:pos="990"/>
        </w:tabs>
        <w:spacing w:after="60"/>
        <w:rPr>
          <w:b/>
        </w:rPr>
      </w:pPr>
      <w:r w:rsidRPr="00507E77">
        <w:rPr>
          <w:b/>
        </w:rPr>
        <w:t>10</w:t>
      </w:r>
      <w:r w:rsidRPr="00507E77">
        <w:rPr>
          <w:b/>
        </w:rPr>
        <w:tab/>
        <w:t>Highest Level of Priority—Urgent/Critical</w:t>
      </w:r>
      <w:r w:rsidRPr="00507E77">
        <w:rPr>
          <w:b/>
        </w:rPr>
        <w:tab/>
      </w:r>
      <w:r w:rsidRPr="00507E77">
        <w:rPr>
          <w:b/>
        </w:rPr>
        <w:tab/>
        <w:t>5</w:t>
      </w:r>
      <w:r w:rsidRPr="00507E77">
        <w:rPr>
          <w:b/>
        </w:rPr>
        <w:tab/>
        <w:t>Medium Level of Priority</w:t>
      </w:r>
    </w:p>
    <w:p w14:paraId="552FB898" w14:textId="4E7F9C72" w:rsidR="00107A28" w:rsidRPr="00507E77" w:rsidRDefault="00107A28" w:rsidP="00AB5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8" w:color="auto"/>
        </w:pBdr>
        <w:shd w:val="clear" w:color="auto" w:fill="CCFFFF"/>
        <w:tabs>
          <w:tab w:val="left" w:pos="990"/>
        </w:tabs>
        <w:spacing w:after="60"/>
        <w:rPr>
          <w:b/>
        </w:rPr>
      </w:pPr>
      <w:r w:rsidRPr="00507E77">
        <w:rPr>
          <w:b/>
        </w:rPr>
        <w:t xml:space="preserve"> 9</w:t>
      </w:r>
      <w:r w:rsidRPr="00507E77">
        <w:rPr>
          <w:b/>
        </w:rPr>
        <w:tab/>
      </w:r>
      <w:r w:rsidR="00816FD8" w:rsidRPr="00507E77">
        <w:rPr>
          <w:b/>
        </w:rPr>
        <w:t>Very High Level of Priority</w:t>
      </w:r>
      <w:r w:rsidR="00816FD8" w:rsidRPr="00507E77">
        <w:rPr>
          <w:b/>
        </w:rPr>
        <w:tab/>
      </w:r>
      <w:r w:rsidR="00816FD8" w:rsidRPr="00507E77">
        <w:rPr>
          <w:b/>
        </w:rPr>
        <w:tab/>
      </w:r>
      <w:r w:rsidR="00816FD8" w:rsidRPr="00507E77">
        <w:rPr>
          <w:b/>
        </w:rPr>
        <w:tab/>
      </w:r>
      <w:r w:rsidR="00816FD8" w:rsidRPr="00507E77">
        <w:rPr>
          <w:b/>
        </w:rPr>
        <w:tab/>
      </w:r>
      <w:r w:rsidRPr="00507E77">
        <w:rPr>
          <w:b/>
        </w:rPr>
        <w:t>4</w:t>
      </w:r>
      <w:r w:rsidRPr="00507E77">
        <w:rPr>
          <w:b/>
        </w:rPr>
        <w:tab/>
        <w:t>Medium Low Level of Priority</w:t>
      </w:r>
    </w:p>
    <w:p w14:paraId="22C97311" w14:textId="77777777" w:rsidR="00107A28" w:rsidRPr="00507E77" w:rsidRDefault="00107A28" w:rsidP="00AB5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8" w:color="auto"/>
        </w:pBdr>
        <w:shd w:val="clear" w:color="auto" w:fill="CCFFFF"/>
        <w:tabs>
          <w:tab w:val="left" w:pos="990"/>
        </w:tabs>
        <w:spacing w:after="60"/>
        <w:rPr>
          <w:b/>
        </w:rPr>
      </w:pPr>
      <w:r w:rsidRPr="00507E77">
        <w:rPr>
          <w:b/>
        </w:rPr>
        <w:t xml:space="preserve"> 8</w:t>
      </w:r>
      <w:r w:rsidRPr="00507E77">
        <w:rPr>
          <w:b/>
        </w:rPr>
        <w:tab/>
        <w:t>High Level of Priority</w:t>
      </w:r>
      <w:r w:rsidRPr="00507E77">
        <w:rPr>
          <w:b/>
        </w:rPr>
        <w:tab/>
      </w:r>
      <w:r w:rsidRPr="00507E77">
        <w:rPr>
          <w:b/>
        </w:rPr>
        <w:tab/>
      </w:r>
      <w:r w:rsidRPr="00507E77">
        <w:rPr>
          <w:b/>
        </w:rPr>
        <w:tab/>
      </w:r>
      <w:r w:rsidRPr="00507E77">
        <w:rPr>
          <w:b/>
        </w:rPr>
        <w:tab/>
      </w:r>
      <w:r w:rsidRPr="00507E77">
        <w:rPr>
          <w:b/>
        </w:rPr>
        <w:tab/>
        <w:t>3</w:t>
      </w:r>
      <w:r w:rsidRPr="00507E77">
        <w:rPr>
          <w:b/>
        </w:rPr>
        <w:tab/>
        <w:t>Low Level of Priority</w:t>
      </w:r>
    </w:p>
    <w:p w14:paraId="25501078" w14:textId="77777777" w:rsidR="00107A28" w:rsidRPr="00507E77" w:rsidRDefault="00107A28" w:rsidP="00AB5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8" w:color="auto"/>
        </w:pBdr>
        <w:shd w:val="clear" w:color="auto" w:fill="CCFFFF"/>
        <w:tabs>
          <w:tab w:val="left" w:pos="990"/>
        </w:tabs>
        <w:spacing w:after="60"/>
        <w:rPr>
          <w:b/>
        </w:rPr>
      </w:pPr>
      <w:r w:rsidRPr="00507E77">
        <w:rPr>
          <w:b/>
        </w:rPr>
        <w:t xml:space="preserve"> 7</w:t>
      </w:r>
      <w:r w:rsidRPr="00507E77">
        <w:rPr>
          <w:b/>
        </w:rPr>
        <w:tab/>
        <w:t>Medium High Level of Priority</w:t>
      </w:r>
      <w:r w:rsidRPr="00507E77">
        <w:rPr>
          <w:b/>
        </w:rPr>
        <w:tab/>
      </w:r>
      <w:r w:rsidRPr="00507E77">
        <w:rPr>
          <w:b/>
        </w:rPr>
        <w:tab/>
      </w:r>
      <w:r w:rsidRPr="00507E77">
        <w:rPr>
          <w:b/>
        </w:rPr>
        <w:tab/>
      </w:r>
      <w:r w:rsidRPr="00507E77">
        <w:rPr>
          <w:b/>
        </w:rPr>
        <w:tab/>
        <w:t>2</w:t>
      </w:r>
      <w:r w:rsidRPr="00507E77">
        <w:rPr>
          <w:b/>
        </w:rPr>
        <w:tab/>
        <w:t>Very Low Level of Priority</w:t>
      </w:r>
    </w:p>
    <w:p w14:paraId="52B94AFC" w14:textId="23060607" w:rsidR="009526C3" w:rsidRPr="00507E77" w:rsidRDefault="00107A28" w:rsidP="00AB5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8" w:color="auto"/>
        </w:pBdr>
        <w:shd w:val="clear" w:color="auto" w:fill="CCFFFF"/>
        <w:tabs>
          <w:tab w:val="left" w:pos="990"/>
        </w:tabs>
        <w:spacing w:after="60"/>
        <w:rPr>
          <w:b/>
        </w:rPr>
      </w:pPr>
      <w:r w:rsidRPr="00507E77">
        <w:rPr>
          <w:b/>
        </w:rPr>
        <w:t xml:space="preserve"> 6</w:t>
      </w:r>
      <w:r w:rsidRPr="00507E77">
        <w:rPr>
          <w:b/>
        </w:rPr>
        <w:tab/>
        <w:t>Moder</w:t>
      </w:r>
      <w:r w:rsidR="00816FD8" w:rsidRPr="00507E77">
        <w:rPr>
          <w:b/>
        </w:rPr>
        <w:t>ately High Level of Priority</w:t>
      </w:r>
      <w:r w:rsidR="00816FD8" w:rsidRPr="00507E77">
        <w:rPr>
          <w:b/>
        </w:rPr>
        <w:tab/>
      </w:r>
      <w:r w:rsidR="00816FD8" w:rsidRPr="00507E77">
        <w:rPr>
          <w:b/>
        </w:rPr>
        <w:tab/>
      </w:r>
      <w:r w:rsidR="00816FD8" w:rsidRPr="00507E77">
        <w:rPr>
          <w:b/>
        </w:rPr>
        <w:tab/>
      </w:r>
      <w:r w:rsidRPr="00507E77">
        <w:rPr>
          <w:b/>
        </w:rPr>
        <w:t>1</w:t>
      </w:r>
      <w:r w:rsidRPr="00507E77">
        <w:rPr>
          <w:b/>
        </w:rPr>
        <w:tab/>
        <w:t xml:space="preserve">Lowest Possible Priority—Commission Should not </w:t>
      </w:r>
      <w:r w:rsidR="001B6524" w:rsidRPr="00507E77">
        <w:rPr>
          <w:b/>
        </w:rPr>
        <w:t>Fund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5238"/>
        <w:gridCol w:w="900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990"/>
      </w:tblGrid>
      <w:tr w:rsidR="00107A28" w:rsidRPr="00507E77" w14:paraId="3197213E" w14:textId="77777777" w:rsidTr="00E447F1">
        <w:trPr>
          <w:trHeight w:val="630"/>
        </w:trPr>
        <w:tc>
          <w:tcPr>
            <w:tcW w:w="5238" w:type="dxa"/>
            <w:shd w:val="clear" w:color="auto" w:fill="4F81BD" w:themeFill="accent1"/>
          </w:tcPr>
          <w:p w14:paraId="5E3440AC" w14:textId="77777777" w:rsidR="00107A28" w:rsidRPr="00507E77" w:rsidRDefault="00107A28" w:rsidP="000D7F24">
            <w:pPr>
              <w:tabs>
                <w:tab w:val="left" w:pos="990"/>
              </w:tabs>
              <w:rPr>
                <w:rFonts w:ascii="Garamond" w:hAnsi="Garamond"/>
                <w:b/>
                <w:bCs/>
                <w:smallCaps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bCs/>
                <w:smallCaps/>
                <w:color w:val="FFFFFF" w:themeColor="background1"/>
                <w:sz w:val="26"/>
                <w:szCs w:val="26"/>
              </w:rPr>
              <w:t>Proposed Research Project</w:t>
            </w:r>
          </w:p>
        </w:tc>
        <w:tc>
          <w:tcPr>
            <w:tcW w:w="900" w:type="dxa"/>
            <w:shd w:val="clear" w:color="auto" w:fill="4F81BD" w:themeFill="accent1"/>
          </w:tcPr>
          <w:p w14:paraId="15A1DF6D" w14:textId="77777777" w:rsidR="00107A28" w:rsidRPr="00507E77" w:rsidRDefault="00107A28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bCs/>
                <w:smallCaps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bCs/>
                <w:smallCaps/>
                <w:color w:val="FFFFFF" w:themeColor="background1"/>
                <w:sz w:val="26"/>
                <w:szCs w:val="26"/>
              </w:rPr>
              <w:t>Rank</w:t>
            </w:r>
          </w:p>
        </w:tc>
        <w:tc>
          <w:tcPr>
            <w:tcW w:w="729" w:type="dxa"/>
            <w:shd w:val="clear" w:color="auto" w:fill="4F81BD" w:themeFill="accent1"/>
          </w:tcPr>
          <w:p w14:paraId="7E05235F" w14:textId="77777777" w:rsidR="00107A28" w:rsidRPr="00507E77" w:rsidRDefault="00107A28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bCs/>
                <w:smallCaps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bCs/>
                <w:smallCaps/>
                <w:color w:val="FFFFFF" w:themeColor="background1"/>
                <w:sz w:val="26"/>
                <w:szCs w:val="26"/>
              </w:rPr>
              <w:t>10</w:t>
            </w:r>
          </w:p>
        </w:tc>
        <w:tc>
          <w:tcPr>
            <w:tcW w:w="729" w:type="dxa"/>
            <w:shd w:val="clear" w:color="auto" w:fill="4F81BD" w:themeFill="accent1"/>
          </w:tcPr>
          <w:p w14:paraId="262AFE5B" w14:textId="77777777" w:rsidR="00107A28" w:rsidRPr="00507E77" w:rsidRDefault="00107A28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  <w:t>9</w:t>
            </w:r>
          </w:p>
        </w:tc>
        <w:tc>
          <w:tcPr>
            <w:tcW w:w="729" w:type="dxa"/>
            <w:shd w:val="clear" w:color="auto" w:fill="4F81BD" w:themeFill="accent1"/>
          </w:tcPr>
          <w:p w14:paraId="5A6CB2DD" w14:textId="77777777" w:rsidR="00107A28" w:rsidRPr="00507E77" w:rsidRDefault="00107A28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  <w:t>8</w:t>
            </w:r>
          </w:p>
        </w:tc>
        <w:tc>
          <w:tcPr>
            <w:tcW w:w="729" w:type="dxa"/>
            <w:shd w:val="clear" w:color="auto" w:fill="4F81BD" w:themeFill="accent1"/>
          </w:tcPr>
          <w:p w14:paraId="17169EE8" w14:textId="77777777" w:rsidR="00107A28" w:rsidRPr="00507E77" w:rsidRDefault="00107A28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  <w:t>7</w:t>
            </w:r>
          </w:p>
        </w:tc>
        <w:tc>
          <w:tcPr>
            <w:tcW w:w="729" w:type="dxa"/>
            <w:shd w:val="clear" w:color="auto" w:fill="4F81BD" w:themeFill="accent1"/>
          </w:tcPr>
          <w:p w14:paraId="59DADCDB" w14:textId="77777777" w:rsidR="00107A28" w:rsidRPr="00507E77" w:rsidRDefault="00107A28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  <w:t>6</w:t>
            </w:r>
          </w:p>
        </w:tc>
        <w:tc>
          <w:tcPr>
            <w:tcW w:w="729" w:type="dxa"/>
            <w:shd w:val="clear" w:color="auto" w:fill="4F81BD" w:themeFill="accent1"/>
          </w:tcPr>
          <w:p w14:paraId="3C57AEB3" w14:textId="77777777" w:rsidR="00107A28" w:rsidRPr="00507E77" w:rsidRDefault="00107A28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  <w:t>5</w:t>
            </w:r>
          </w:p>
        </w:tc>
        <w:tc>
          <w:tcPr>
            <w:tcW w:w="729" w:type="dxa"/>
            <w:shd w:val="clear" w:color="auto" w:fill="4F81BD" w:themeFill="accent1"/>
          </w:tcPr>
          <w:p w14:paraId="0AD5ED82" w14:textId="77777777" w:rsidR="00107A28" w:rsidRPr="00507E77" w:rsidRDefault="00107A28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729" w:type="dxa"/>
            <w:shd w:val="clear" w:color="auto" w:fill="4F81BD" w:themeFill="accent1"/>
          </w:tcPr>
          <w:p w14:paraId="4C055DF5" w14:textId="77777777" w:rsidR="00107A28" w:rsidRPr="00507E77" w:rsidRDefault="00107A28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729" w:type="dxa"/>
            <w:shd w:val="clear" w:color="auto" w:fill="4F81BD" w:themeFill="accent1"/>
          </w:tcPr>
          <w:p w14:paraId="04F24FA8" w14:textId="77777777" w:rsidR="00107A28" w:rsidRPr="00507E77" w:rsidRDefault="00107A28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  <w:t>2</w:t>
            </w:r>
          </w:p>
        </w:tc>
        <w:tc>
          <w:tcPr>
            <w:tcW w:w="729" w:type="dxa"/>
            <w:shd w:val="clear" w:color="auto" w:fill="4F81BD" w:themeFill="accent1"/>
          </w:tcPr>
          <w:p w14:paraId="5EE696BA" w14:textId="77777777" w:rsidR="00107A28" w:rsidRPr="00507E77" w:rsidRDefault="00107A28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4F81BD" w:themeFill="accent1"/>
          </w:tcPr>
          <w:p w14:paraId="4F314E56" w14:textId="1A3C5762" w:rsidR="00107A28" w:rsidRPr="00507E77" w:rsidRDefault="007A0D31" w:rsidP="000D7F24">
            <w:pPr>
              <w:tabs>
                <w:tab w:val="left" w:pos="990"/>
              </w:tabs>
              <w:jc w:val="center"/>
              <w:rPr>
                <w:rFonts w:ascii="Garamond" w:hAnsi="Garamond"/>
                <w:b/>
                <w:bCs/>
                <w:smallCaps/>
                <w:color w:val="FFFFFF" w:themeColor="background1"/>
                <w:sz w:val="26"/>
                <w:szCs w:val="26"/>
              </w:rPr>
            </w:pPr>
            <w:r w:rsidRPr="00507E77">
              <w:rPr>
                <w:rFonts w:ascii="Garamond" w:hAnsi="Garamond"/>
                <w:b/>
                <w:bCs/>
                <w:smallCaps/>
                <w:color w:val="FFFFFF" w:themeColor="background1"/>
                <w:sz w:val="26"/>
                <w:szCs w:val="26"/>
              </w:rPr>
              <w:t>Raw Score</w:t>
            </w:r>
          </w:p>
        </w:tc>
      </w:tr>
      <w:tr w:rsidR="00125ADA" w:rsidRPr="00507E77" w14:paraId="7EA5C50A" w14:textId="77777777" w:rsidTr="00EC6665">
        <w:trPr>
          <w:trHeight w:val="539"/>
        </w:trPr>
        <w:tc>
          <w:tcPr>
            <w:tcW w:w="5238" w:type="dxa"/>
            <w:shd w:val="clear" w:color="auto" w:fill="EEECE1" w:themeFill="background2"/>
            <w:vAlign w:val="center"/>
          </w:tcPr>
          <w:p w14:paraId="0DE325DD" w14:textId="629F26E1" w:rsidR="00125ADA" w:rsidRPr="00507E77" w:rsidRDefault="00125ADA" w:rsidP="00FF09A2">
            <w:pPr>
              <w:tabs>
                <w:tab w:val="left" w:pos="990"/>
              </w:tabs>
              <w:ind w:left="360" w:hanging="360"/>
              <w:contextualSpacing/>
              <w:rPr>
                <w:rFonts w:ascii="Garamond" w:hAnsi="Garamond"/>
                <w:b/>
              </w:rPr>
            </w:pPr>
            <w:r w:rsidRPr="00507E77">
              <w:rPr>
                <w:rFonts w:ascii="Garamond" w:eastAsia="Times New Roman" w:hAnsi="Garamond"/>
                <w:b/>
                <w:bCs/>
              </w:rPr>
              <w:t>1.) Wind Loading on Elevated Residential Structures (FIU/UF) [$150,000]</w:t>
            </w:r>
          </w:p>
        </w:tc>
        <w:tc>
          <w:tcPr>
            <w:tcW w:w="900" w:type="dxa"/>
            <w:shd w:val="clear" w:color="auto" w:fill="EEECE1" w:themeFill="background2"/>
          </w:tcPr>
          <w:p w14:paraId="5E3036B2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7AAF3954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2F375695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790170C3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474FD27D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5C4AE3BE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400FE42A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3CB0E790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69B06404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2EF9CC17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401751A4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59A3DEC3" w14:textId="77777777" w:rsidR="00125ADA" w:rsidRPr="00507E77" w:rsidRDefault="00125ADA" w:rsidP="000D7F24">
            <w:pPr>
              <w:tabs>
                <w:tab w:val="left" w:pos="990"/>
              </w:tabs>
              <w:jc w:val="center"/>
              <w:rPr>
                <w:rFonts w:ascii="Garamond" w:hAnsi="Garamond"/>
              </w:rPr>
            </w:pPr>
          </w:p>
        </w:tc>
      </w:tr>
      <w:tr w:rsidR="00125ADA" w:rsidRPr="00507E77" w14:paraId="51E4B4CA" w14:textId="77777777" w:rsidTr="0067689C">
        <w:trPr>
          <w:trHeight w:val="467"/>
        </w:trPr>
        <w:tc>
          <w:tcPr>
            <w:tcW w:w="5238" w:type="dxa"/>
            <w:shd w:val="clear" w:color="auto" w:fill="auto"/>
            <w:vAlign w:val="center"/>
          </w:tcPr>
          <w:p w14:paraId="3885078B" w14:textId="2E2050B9" w:rsidR="00125ADA" w:rsidRPr="00507E77" w:rsidRDefault="00125ADA" w:rsidP="00FF09A2">
            <w:pPr>
              <w:tabs>
                <w:tab w:val="left" w:pos="990"/>
              </w:tabs>
              <w:ind w:left="270" w:hanging="270"/>
              <w:contextualSpacing/>
              <w:rPr>
                <w:rFonts w:ascii="Garamond" w:hAnsi="Garamond"/>
                <w:b/>
              </w:rPr>
            </w:pPr>
            <w:r w:rsidRPr="00507E77">
              <w:rPr>
                <w:rFonts w:ascii="Garamond" w:eastAsia="Times New Roman" w:hAnsi="Garamond"/>
                <w:b/>
                <w:bCs/>
              </w:rPr>
              <w:t>2.) Wind-Induced Loads on Roof Overhangs (FIU) [$150,000]</w:t>
            </w:r>
          </w:p>
        </w:tc>
        <w:tc>
          <w:tcPr>
            <w:tcW w:w="900" w:type="dxa"/>
            <w:shd w:val="clear" w:color="auto" w:fill="auto"/>
          </w:tcPr>
          <w:p w14:paraId="627F4386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474E5853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239F5088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31E125DB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25762218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4006BCE6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5D8996A6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02654902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02AE7805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7A3F0453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5E95D0F1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990" w:type="dxa"/>
            <w:shd w:val="clear" w:color="auto" w:fill="auto"/>
          </w:tcPr>
          <w:p w14:paraId="347D9C5F" w14:textId="77777777" w:rsidR="00125ADA" w:rsidRPr="00507E77" w:rsidRDefault="00125ADA" w:rsidP="000D7F24">
            <w:pPr>
              <w:tabs>
                <w:tab w:val="left" w:pos="990"/>
              </w:tabs>
              <w:jc w:val="center"/>
              <w:rPr>
                <w:rFonts w:ascii="Garamond" w:hAnsi="Garamond"/>
              </w:rPr>
            </w:pPr>
          </w:p>
        </w:tc>
      </w:tr>
      <w:tr w:rsidR="00125ADA" w:rsidRPr="00507E77" w14:paraId="45A45B28" w14:textId="77777777" w:rsidTr="00EC6665">
        <w:trPr>
          <w:trHeight w:val="630"/>
        </w:trPr>
        <w:tc>
          <w:tcPr>
            <w:tcW w:w="5238" w:type="dxa"/>
            <w:shd w:val="clear" w:color="auto" w:fill="EEECE1" w:themeFill="background2"/>
            <w:vAlign w:val="center"/>
          </w:tcPr>
          <w:p w14:paraId="4DF87FC6" w14:textId="48DA38BD" w:rsidR="00125ADA" w:rsidRPr="00507E77" w:rsidRDefault="00125ADA" w:rsidP="00FF09A2">
            <w:pPr>
              <w:tabs>
                <w:tab w:val="left" w:pos="990"/>
              </w:tabs>
              <w:ind w:left="360" w:hanging="360"/>
              <w:contextualSpacing/>
              <w:rPr>
                <w:rFonts w:ascii="Garamond" w:hAnsi="Garamond"/>
                <w:b/>
              </w:rPr>
            </w:pPr>
            <w:r w:rsidRPr="00507E77">
              <w:rPr>
                <w:rFonts w:ascii="Garamond" w:eastAsia="Times New Roman" w:hAnsi="Garamond"/>
                <w:b/>
                <w:bCs/>
              </w:rPr>
              <w:t>3.) Updating the Statewide Extreme Rainfall Projections (FIU) [$137,124]</w:t>
            </w:r>
          </w:p>
        </w:tc>
        <w:tc>
          <w:tcPr>
            <w:tcW w:w="900" w:type="dxa"/>
            <w:shd w:val="clear" w:color="auto" w:fill="EEECE1" w:themeFill="background2"/>
          </w:tcPr>
          <w:p w14:paraId="514AB954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3AB4A2A8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3ED0EA63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6FBCAC42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34294714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2E98A1B5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3080759F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4B2D1892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1C1481A4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59BE39EF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71C158FE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217FF9F1" w14:textId="77777777" w:rsidR="00125ADA" w:rsidRPr="00507E77" w:rsidRDefault="00125ADA" w:rsidP="000D7F24">
            <w:pPr>
              <w:tabs>
                <w:tab w:val="left" w:pos="990"/>
              </w:tabs>
              <w:jc w:val="center"/>
              <w:rPr>
                <w:rFonts w:ascii="Garamond" w:hAnsi="Garamond"/>
              </w:rPr>
            </w:pPr>
          </w:p>
        </w:tc>
      </w:tr>
      <w:tr w:rsidR="00125ADA" w:rsidRPr="00507E77" w14:paraId="70653B7E" w14:textId="77777777" w:rsidTr="00507E77">
        <w:trPr>
          <w:trHeight w:val="630"/>
        </w:trPr>
        <w:tc>
          <w:tcPr>
            <w:tcW w:w="5238" w:type="dxa"/>
            <w:shd w:val="clear" w:color="auto" w:fill="auto"/>
            <w:vAlign w:val="center"/>
          </w:tcPr>
          <w:p w14:paraId="4D49E7BF" w14:textId="3E4BAFFC" w:rsidR="00125ADA" w:rsidRPr="00507E77" w:rsidRDefault="00125ADA" w:rsidP="00FF09A2">
            <w:pPr>
              <w:ind w:left="360" w:hanging="360"/>
              <w:rPr>
                <w:rFonts w:ascii="Garamond" w:hAnsi="Garamond"/>
                <w:b/>
              </w:rPr>
            </w:pPr>
            <w:r w:rsidRPr="00507E77">
              <w:rPr>
                <w:rFonts w:ascii="Garamond" w:eastAsia="Times New Roman" w:hAnsi="Garamond"/>
                <w:b/>
                <w:bCs/>
              </w:rPr>
              <w:t>4.) Appendix with Optional Enhanced Constru</w:t>
            </w:r>
            <w:r w:rsidR="00151579" w:rsidRPr="00507E77">
              <w:rPr>
                <w:rFonts w:ascii="Garamond" w:eastAsia="Times New Roman" w:hAnsi="Garamond"/>
                <w:b/>
                <w:bCs/>
              </w:rPr>
              <w:t>ction Techniques (FDEM) [$</w:t>
            </w:r>
            <w:r w:rsidR="00151579" w:rsidRPr="00507E77">
              <w:rPr>
                <w:rFonts w:ascii="Garamond" w:hAnsi="Garamond"/>
                <w:b/>
              </w:rPr>
              <w:t>23,925</w:t>
            </w:r>
            <w:r w:rsidRPr="00507E77">
              <w:rPr>
                <w:rFonts w:ascii="Garamond" w:eastAsia="Times New Roman" w:hAnsi="Garamond"/>
                <w:b/>
                <w:bCs/>
              </w:rPr>
              <w:t>]</w:t>
            </w:r>
          </w:p>
        </w:tc>
        <w:tc>
          <w:tcPr>
            <w:tcW w:w="900" w:type="dxa"/>
            <w:shd w:val="clear" w:color="auto" w:fill="auto"/>
          </w:tcPr>
          <w:p w14:paraId="274C588A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36ED6AEB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4D2B8978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1A45A11B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7C423A7C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13CA914C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5D34D9F6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4F9AABE6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7BC18838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4A93BB3D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auto"/>
          </w:tcPr>
          <w:p w14:paraId="2082E668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990" w:type="dxa"/>
            <w:shd w:val="clear" w:color="auto" w:fill="auto"/>
          </w:tcPr>
          <w:p w14:paraId="58CDF60D" w14:textId="77777777" w:rsidR="00125ADA" w:rsidRPr="00507E77" w:rsidRDefault="00125ADA" w:rsidP="000D7F24">
            <w:pPr>
              <w:tabs>
                <w:tab w:val="left" w:pos="990"/>
              </w:tabs>
              <w:jc w:val="center"/>
              <w:rPr>
                <w:rFonts w:ascii="Garamond" w:hAnsi="Garamond"/>
              </w:rPr>
            </w:pPr>
          </w:p>
        </w:tc>
      </w:tr>
      <w:tr w:rsidR="00125ADA" w:rsidRPr="00507E77" w14:paraId="69135C98" w14:textId="77777777" w:rsidTr="00EC6665">
        <w:trPr>
          <w:trHeight w:val="530"/>
        </w:trPr>
        <w:tc>
          <w:tcPr>
            <w:tcW w:w="5238" w:type="dxa"/>
            <w:shd w:val="clear" w:color="auto" w:fill="EEECE1" w:themeFill="background2"/>
            <w:vAlign w:val="center"/>
          </w:tcPr>
          <w:p w14:paraId="76A84AC1" w14:textId="60DAE6EF" w:rsidR="00125ADA" w:rsidRPr="00FF09A2" w:rsidRDefault="00125ADA" w:rsidP="00FF09A2">
            <w:pPr>
              <w:tabs>
                <w:tab w:val="left" w:pos="990"/>
              </w:tabs>
              <w:ind w:left="270" w:hanging="270"/>
              <w:contextualSpacing/>
              <w:rPr>
                <w:rFonts w:ascii="Garamond" w:eastAsia="Times New Roman" w:hAnsi="Garamond"/>
                <w:b/>
                <w:bCs/>
              </w:rPr>
            </w:pPr>
            <w:r w:rsidRPr="00507E77">
              <w:rPr>
                <w:rFonts w:ascii="Garamond" w:eastAsia="Times New Roman" w:hAnsi="Garamond"/>
                <w:b/>
                <w:bCs/>
              </w:rPr>
              <w:t>5.) Wind Speed Line Maps Web Viewer</w:t>
            </w:r>
            <w:r w:rsidR="00FF09A2">
              <w:rPr>
                <w:rFonts w:ascii="Garamond" w:eastAsia="Times New Roman" w:hAnsi="Garamond"/>
                <w:b/>
                <w:bCs/>
              </w:rPr>
              <w:t xml:space="preserve"> </w:t>
            </w:r>
            <w:r w:rsidRPr="00507E77">
              <w:rPr>
                <w:rFonts w:ascii="Garamond" w:eastAsia="Times New Roman" w:hAnsi="Garamond"/>
                <w:b/>
                <w:bCs/>
              </w:rPr>
              <w:t>(UF) [$20,000]</w:t>
            </w:r>
          </w:p>
        </w:tc>
        <w:tc>
          <w:tcPr>
            <w:tcW w:w="900" w:type="dxa"/>
            <w:shd w:val="clear" w:color="auto" w:fill="EEECE1" w:themeFill="background2"/>
          </w:tcPr>
          <w:p w14:paraId="3148C33A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4F765E50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0B0CFF87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0CB39711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60B7236B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6CD69B35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000D2A35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1418E0BD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19726FF5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563DBB1A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729" w:type="dxa"/>
            <w:shd w:val="clear" w:color="auto" w:fill="EEECE1" w:themeFill="background2"/>
          </w:tcPr>
          <w:p w14:paraId="193FA577" w14:textId="77777777" w:rsidR="00125ADA" w:rsidRPr="00507E77" w:rsidRDefault="00125ADA" w:rsidP="000D7F24">
            <w:pPr>
              <w:tabs>
                <w:tab w:val="left" w:pos="990"/>
              </w:tabs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39BB7F67" w14:textId="77777777" w:rsidR="00125ADA" w:rsidRPr="00507E77" w:rsidRDefault="00125ADA" w:rsidP="000D7F24">
            <w:pPr>
              <w:tabs>
                <w:tab w:val="left" w:pos="990"/>
              </w:tabs>
              <w:jc w:val="center"/>
              <w:rPr>
                <w:rFonts w:ascii="Garamond" w:hAnsi="Garamond"/>
              </w:rPr>
            </w:pPr>
          </w:p>
        </w:tc>
      </w:tr>
      <w:tr w:rsidR="00507E77" w:rsidRPr="00507E77" w14:paraId="4883E562" w14:textId="77777777" w:rsidTr="00507E77">
        <w:trPr>
          <w:trHeight w:val="278"/>
        </w:trPr>
        <w:tc>
          <w:tcPr>
            <w:tcW w:w="14418" w:type="dxa"/>
            <w:gridSpan w:val="13"/>
            <w:shd w:val="clear" w:color="auto" w:fill="DAEEF3" w:themeFill="accent5" w:themeFillTint="33"/>
          </w:tcPr>
          <w:p w14:paraId="0505BF2D" w14:textId="331BA2B7" w:rsidR="00507E77" w:rsidRPr="00507E77" w:rsidRDefault="00587A30" w:rsidP="00587A30">
            <w:pPr>
              <w:tabs>
                <w:tab w:val="left" w:pos="990"/>
              </w:tabs>
              <w:spacing w:before="60" w:after="60"/>
              <w:rPr>
                <w:rFonts w:ascii="Garamond" w:hAnsi="Garamond"/>
              </w:rPr>
            </w:pPr>
            <w:r w:rsidRPr="00507E77">
              <w:rPr>
                <w:rFonts w:ascii="Garamond" w:hAnsi="Garamond"/>
                <w:b/>
                <w:bCs/>
                <w:color w:val="FF0000"/>
              </w:rPr>
              <w:t>*</w:t>
            </w:r>
            <w:r w:rsidR="00507E77">
              <w:rPr>
                <w:rFonts w:ascii="Garamond" w:hAnsi="Garamond"/>
                <w:b/>
              </w:rPr>
              <w:t xml:space="preserve">The Following Projects are </w:t>
            </w:r>
            <w:r w:rsidR="00507E77" w:rsidRPr="00507E77">
              <w:rPr>
                <w:rFonts w:ascii="Garamond" w:hAnsi="Garamond"/>
                <w:b/>
              </w:rPr>
              <w:t>Needed for Support of the 2020 Code or Development of the 2023 Code</w:t>
            </w:r>
            <w:r w:rsidR="00507E77">
              <w:rPr>
                <w:rFonts w:ascii="Garamond" w:hAnsi="Garamond"/>
                <w:b/>
              </w:rPr>
              <w:t xml:space="preserve"> and Will be Funded by the Commission</w:t>
            </w:r>
          </w:p>
        </w:tc>
      </w:tr>
      <w:tr w:rsidR="00507E77" w:rsidRPr="00507E77" w14:paraId="4FE48EC2" w14:textId="77777777" w:rsidTr="00EF3576">
        <w:trPr>
          <w:trHeight w:val="296"/>
        </w:trPr>
        <w:tc>
          <w:tcPr>
            <w:tcW w:w="14418" w:type="dxa"/>
            <w:gridSpan w:val="13"/>
            <w:shd w:val="clear" w:color="auto" w:fill="EEECE1" w:themeFill="background2"/>
          </w:tcPr>
          <w:p w14:paraId="164AD546" w14:textId="23FFC593" w:rsidR="00507E77" w:rsidRPr="00507E77" w:rsidRDefault="00507E77" w:rsidP="00507E77">
            <w:pPr>
              <w:tabs>
                <w:tab w:val="left" w:pos="990"/>
              </w:tabs>
              <w:contextualSpacing/>
              <w:rPr>
                <w:rFonts w:ascii="Garamond" w:hAnsi="Garamond"/>
              </w:rPr>
            </w:pPr>
            <w:r w:rsidRPr="00507E77">
              <w:rPr>
                <w:rFonts w:ascii="Garamond" w:hAnsi="Garamond" w:cs="Arial"/>
                <w:b/>
                <w:bCs/>
                <w:color w:val="000000"/>
              </w:rPr>
              <w:t xml:space="preserve">A.) </w:t>
            </w:r>
            <w:r w:rsidRPr="00507E77">
              <w:rPr>
                <w:rFonts w:ascii="Garamond" w:hAnsi="Garamond"/>
                <w:b/>
                <w:bCs/>
                <w:color w:val="FF0000"/>
              </w:rPr>
              <w:t>*</w:t>
            </w:r>
            <w:r w:rsidRPr="00507E77">
              <w:rPr>
                <w:rFonts w:ascii="Garamond" w:hAnsi="Garamond" w:cs="Arial"/>
                <w:b/>
                <w:bCs/>
                <w:color w:val="000000"/>
              </w:rPr>
              <w:t>Evaluation of the Cost Impact and Benefit of 2021 IBC Prescriptive Code Changes (UF) [$99,898]</w:t>
            </w:r>
          </w:p>
        </w:tc>
      </w:tr>
      <w:tr w:rsidR="00507E77" w:rsidRPr="00507E77" w14:paraId="41474BED" w14:textId="77777777" w:rsidTr="00EF3576">
        <w:trPr>
          <w:trHeight w:val="296"/>
        </w:trPr>
        <w:tc>
          <w:tcPr>
            <w:tcW w:w="14418" w:type="dxa"/>
            <w:gridSpan w:val="13"/>
            <w:shd w:val="clear" w:color="auto" w:fill="auto"/>
          </w:tcPr>
          <w:p w14:paraId="78A08626" w14:textId="7AF1FA7A" w:rsidR="00507E77" w:rsidRPr="00507E77" w:rsidRDefault="00507E77" w:rsidP="00507E77">
            <w:pPr>
              <w:tabs>
                <w:tab w:val="left" w:pos="990"/>
              </w:tabs>
              <w:contextualSpacing/>
              <w:rPr>
                <w:rFonts w:ascii="Garamond" w:hAnsi="Garamond"/>
              </w:rPr>
            </w:pPr>
            <w:r w:rsidRPr="00507E77">
              <w:rPr>
                <w:rFonts w:ascii="Garamond" w:hAnsi="Garamond"/>
                <w:b/>
              </w:rPr>
              <w:t xml:space="preserve">B.) </w:t>
            </w:r>
            <w:r w:rsidRPr="00507E77">
              <w:rPr>
                <w:rFonts w:ascii="Garamond" w:hAnsi="Garamond"/>
                <w:b/>
                <w:bCs/>
                <w:color w:val="FF0000"/>
              </w:rPr>
              <w:t>*</w:t>
            </w:r>
            <w:r w:rsidRPr="00507E77">
              <w:rPr>
                <w:rFonts w:ascii="Garamond" w:eastAsia="Times New Roman" w:hAnsi="Garamond" w:cs="Arial"/>
                <w:b/>
              </w:rPr>
              <w:t>Deletion of the Earthquake and Snow Provisions in the FBC (Eric Stafford) [$15,600]</w:t>
            </w:r>
          </w:p>
        </w:tc>
      </w:tr>
      <w:tr w:rsidR="00507E77" w:rsidRPr="00507E77" w14:paraId="6A11A4D7" w14:textId="77777777" w:rsidTr="00EF3576">
        <w:trPr>
          <w:trHeight w:val="296"/>
        </w:trPr>
        <w:tc>
          <w:tcPr>
            <w:tcW w:w="14418" w:type="dxa"/>
            <w:gridSpan w:val="13"/>
            <w:shd w:val="clear" w:color="auto" w:fill="EEECE1" w:themeFill="background2"/>
          </w:tcPr>
          <w:p w14:paraId="38C49EEC" w14:textId="59B70EE8" w:rsidR="00507E77" w:rsidRPr="00507E77" w:rsidRDefault="00507E77" w:rsidP="00507E77">
            <w:pPr>
              <w:tabs>
                <w:tab w:val="left" w:pos="990"/>
              </w:tabs>
              <w:contextualSpacing/>
              <w:rPr>
                <w:rFonts w:ascii="Garamond" w:hAnsi="Garamond"/>
              </w:rPr>
            </w:pPr>
            <w:r w:rsidRPr="00507E77">
              <w:rPr>
                <w:rFonts w:ascii="Garamond" w:hAnsi="Garamond"/>
                <w:b/>
              </w:rPr>
              <w:t xml:space="preserve">C.) </w:t>
            </w:r>
            <w:r w:rsidRPr="00507E77">
              <w:rPr>
                <w:rFonts w:ascii="Garamond" w:hAnsi="Garamond"/>
                <w:b/>
                <w:bCs/>
                <w:color w:val="FF0000"/>
              </w:rPr>
              <w:t>*</w:t>
            </w:r>
            <w:r w:rsidRPr="00507E77">
              <w:rPr>
                <w:rFonts w:ascii="Garamond" w:hAnsi="Garamond" w:cs="Arial"/>
                <w:b/>
              </w:rPr>
              <w:t>Comparison of the 7</w:t>
            </w:r>
            <w:r w:rsidRPr="00507E77">
              <w:rPr>
                <w:rFonts w:ascii="Garamond" w:hAnsi="Garamond" w:cs="Arial"/>
                <w:b/>
                <w:vertAlign w:val="superscript"/>
              </w:rPr>
              <w:t>th</w:t>
            </w:r>
            <w:r w:rsidRPr="00507E77">
              <w:rPr>
                <w:rFonts w:ascii="Garamond" w:hAnsi="Garamond" w:cs="Arial"/>
                <w:b/>
              </w:rPr>
              <w:t xml:space="preserve"> Edition Florida Building Energy Conservation Code with IECC 2021 &amp;ASHRAE 90.1-2019 (FSEC) [$75,000]</w:t>
            </w:r>
          </w:p>
        </w:tc>
      </w:tr>
      <w:tr w:rsidR="00507E77" w:rsidRPr="00507E77" w14:paraId="07626E23" w14:textId="77777777" w:rsidTr="003E0E22">
        <w:trPr>
          <w:trHeight w:val="296"/>
        </w:trPr>
        <w:tc>
          <w:tcPr>
            <w:tcW w:w="14418" w:type="dxa"/>
            <w:gridSpan w:val="13"/>
            <w:shd w:val="clear" w:color="auto" w:fill="auto"/>
          </w:tcPr>
          <w:p w14:paraId="43935CF8" w14:textId="55963A76" w:rsidR="00507E77" w:rsidRPr="00507E77" w:rsidRDefault="00507E77" w:rsidP="0022157B">
            <w:pPr>
              <w:tabs>
                <w:tab w:val="left" w:pos="990"/>
              </w:tabs>
              <w:ind w:left="450" w:hanging="450"/>
              <w:contextualSpacing/>
              <w:rPr>
                <w:rFonts w:ascii="Garamond" w:hAnsi="Garamond"/>
              </w:rPr>
            </w:pPr>
            <w:r w:rsidRPr="00507E77">
              <w:rPr>
                <w:rFonts w:ascii="Garamond" w:hAnsi="Garamond"/>
                <w:b/>
              </w:rPr>
              <w:t xml:space="preserve">D.) </w:t>
            </w:r>
            <w:r w:rsidRPr="00507E77">
              <w:rPr>
                <w:rFonts w:ascii="Garamond" w:hAnsi="Garamond"/>
                <w:b/>
                <w:bCs/>
                <w:color w:val="FF0000"/>
              </w:rPr>
              <w:t>*</w:t>
            </w:r>
            <w:r w:rsidRPr="00507E77">
              <w:rPr>
                <w:rFonts w:ascii="Garamond" w:hAnsi="Garamond" w:cs="Arial"/>
                <w:b/>
              </w:rPr>
              <w:t>7</w:t>
            </w:r>
            <w:r w:rsidRPr="00507E77">
              <w:rPr>
                <w:rFonts w:ascii="Garamond" w:hAnsi="Garamond" w:cs="Arial"/>
                <w:b/>
                <w:vertAlign w:val="superscript"/>
              </w:rPr>
              <w:t>th</w:t>
            </w:r>
            <w:r w:rsidRPr="00507E77">
              <w:rPr>
                <w:rFonts w:ascii="Garamond" w:hAnsi="Garamond" w:cs="Arial"/>
                <w:b/>
              </w:rPr>
              <w:t xml:space="preserve"> Edition (2020) Florida Building Code, Energy Conservation Volume vs. 2018 International Energy Conservation Code Residential Stringency Analysis (FSEC) [$11,000]</w:t>
            </w:r>
          </w:p>
        </w:tc>
      </w:tr>
    </w:tbl>
    <w:p w14:paraId="3983D59F" w14:textId="40E93EA2" w:rsidR="00877865" w:rsidRPr="00507E77" w:rsidRDefault="00877865" w:rsidP="00877865">
      <w:pPr>
        <w:tabs>
          <w:tab w:val="left" w:pos="990"/>
        </w:tabs>
        <w:spacing w:before="120" w:after="0"/>
        <w:rPr>
          <w:b/>
        </w:rPr>
      </w:pPr>
    </w:p>
    <w:sectPr w:rsidR="00877865" w:rsidRPr="00507E77" w:rsidSect="00AB525D">
      <w:footerReference w:type="default" r:id="rId8"/>
      <w:pgSz w:w="15840" w:h="12240" w:orient="landscape"/>
      <w:pgMar w:top="1440" w:right="864" w:bottom="14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B4413" w14:textId="77777777" w:rsidR="00903586" w:rsidRDefault="00903586" w:rsidP="00B155CE">
      <w:pPr>
        <w:spacing w:after="0"/>
      </w:pPr>
      <w:r>
        <w:separator/>
      </w:r>
    </w:p>
  </w:endnote>
  <w:endnote w:type="continuationSeparator" w:id="0">
    <w:p w14:paraId="47FD9DEB" w14:textId="77777777" w:rsidR="00903586" w:rsidRDefault="00903586" w:rsidP="00B155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Athelas Italic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A6E8C" w14:textId="0F5D13EE" w:rsidR="00903586" w:rsidRDefault="00903586" w:rsidP="00B155C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06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61A92" w14:textId="77777777" w:rsidR="00903586" w:rsidRDefault="00903586" w:rsidP="00B155CE">
      <w:pPr>
        <w:spacing w:after="0"/>
      </w:pPr>
      <w:r>
        <w:separator/>
      </w:r>
    </w:p>
  </w:footnote>
  <w:footnote w:type="continuationSeparator" w:id="0">
    <w:p w14:paraId="32F78F30" w14:textId="77777777" w:rsidR="00903586" w:rsidRDefault="00903586" w:rsidP="00B155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6B25"/>
    <w:multiLevelType w:val="multilevel"/>
    <w:tmpl w:val="919EE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10595"/>
    <w:multiLevelType w:val="hybridMultilevel"/>
    <w:tmpl w:val="2958A2B0"/>
    <w:lvl w:ilvl="0" w:tplc="3658472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536"/>
    <w:multiLevelType w:val="hybridMultilevel"/>
    <w:tmpl w:val="87EC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070E"/>
    <w:multiLevelType w:val="hybridMultilevel"/>
    <w:tmpl w:val="9E3CF182"/>
    <w:lvl w:ilvl="0" w:tplc="C37E6BC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160BA"/>
    <w:multiLevelType w:val="hybridMultilevel"/>
    <w:tmpl w:val="366E9682"/>
    <w:lvl w:ilvl="0" w:tplc="65C220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B193E"/>
    <w:multiLevelType w:val="hybridMultilevel"/>
    <w:tmpl w:val="1E38CA0E"/>
    <w:lvl w:ilvl="0" w:tplc="3658472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50505"/>
    <w:multiLevelType w:val="hybridMultilevel"/>
    <w:tmpl w:val="919E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28"/>
    <w:rsid w:val="000004D1"/>
    <w:rsid w:val="00012F15"/>
    <w:rsid w:val="00014ED9"/>
    <w:rsid w:val="000209A6"/>
    <w:rsid w:val="00026F23"/>
    <w:rsid w:val="00027DA3"/>
    <w:rsid w:val="00030996"/>
    <w:rsid w:val="00054F93"/>
    <w:rsid w:val="0006157C"/>
    <w:rsid w:val="00061F67"/>
    <w:rsid w:val="0008506A"/>
    <w:rsid w:val="0009032D"/>
    <w:rsid w:val="000969B2"/>
    <w:rsid w:val="000969D9"/>
    <w:rsid w:val="000A34F9"/>
    <w:rsid w:val="000A5284"/>
    <w:rsid w:val="000B2F8F"/>
    <w:rsid w:val="000B7425"/>
    <w:rsid w:val="000D4DD9"/>
    <w:rsid w:val="000D7F24"/>
    <w:rsid w:val="000E2CD1"/>
    <w:rsid w:val="00107A28"/>
    <w:rsid w:val="00117BFE"/>
    <w:rsid w:val="001254E0"/>
    <w:rsid w:val="001255F5"/>
    <w:rsid w:val="00125ADA"/>
    <w:rsid w:val="00125B03"/>
    <w:rsid w:val="00130B0B"/>
    <w:rsid w:val="0013423A"/>
    <w:rsid w:val="00135611"/>
    <w:rsid w:val="00137BA7"/>
    <w:rsid w:val="0014102A"/>
    <w:rsid w:val="001440E9"/>
    <w:rsid w:val="00144E4C"/>
    <w:rsid w:val="00151579"/>
    <w:rsid w:val="001523FA"/>
    <w:rsid w:val="00155E01"/>
    <w:rsid w:val="00156C5D"/>
    <w:rsid w:val="0016690E"/>
    <w:rsid w:val="00192BEB"/>
    <w:rsid w:val="00197FC0"/>
    <w:rsid w:val="001A472F"/>
    <w:rsid w:val="001A5886"/>
    <w:rsid w:val="001A5BD1"/>
    <w:rsid w:val="001B4B9E"/>
    <w:rsid w:val="001B6524"/>
    <w:rsid w:val="001D0107"/>
    <w:rsid w:val="001D1975"/>
    <w:rsid w:val="001D2C58"/>
    <w:rsid w:val="001D7DE2"/>
    <w:rsid w:val="001E22A9"/>
    <w:rsid w:val="001E7B59"/>
    <w:rsid w:val="001F2132"/>
    <w:rsid w:val="001F4A02"/>
    <w:rsid w:val="001F7FE2"/>
    <w:rsid w:val="00203EA7"/>
    <w:rsid w:val="0022157B"/>
    <w:rsid w:val="00232945"/>
    <w:rsid w:val="00282C1A"/>
    <w:rsid w:val="00282E36"/>
    <w:rsid w:val="00286F57"/>
    <w:rsid w:val="002878D2"/>
    <w:rsid w:val="00294BCA"/>
    <w:rsid w:val="002A01DC"/>
    <w:rsid w:val="002B05C6"/>
    <w:rsid w:val="002B27B2"/>
    <w:rsid w:val="002B39C6"/>
    <w:rsid w:val="002B7149"/>
    <w:rsid w:val="002C1172"/>
    <w:rsid w:val="002D0D87"/>
    <w:rsid w:val="002D2C9C"/>
    <w:rsid w:val="002D3A7B"/>
    <w:rsid w:val="002D5D28"/>
    <w:rsid w:val="002F026A"/>
    <w:rsid w:val="002F0D1F"/>
    <w:rsid w:val="002F241B"/>
    <w:rsid w:val="002F3CFD"/>
    <w:rsid w:val="00304E2A"/>
    <w:rsid w:val="00307B3B"/>
    <w:rsid w:val="00307D87"/>
    <w:rsid w:val="00325258"/>
    <w:rsid w:val="003268A0"/>
    <w:rsid w:val="003273EF"/>
    <w:rsid w:val="00334E2F"/>
    <w:rsid w:val="00337C26"/>
    <w:rsid w:val="003400DA"/>
    <w:rsid w:val="00342713"/>
    <w:rsid w:val="00344E78"/>
    <w:rsid w:val="0035281F"/>
    <w:rsid w:val="0035506C"/>
    <w:rsid w:val="0035602F"/>
    <w:rsid w:val="00364C41"/>
    <w:rsid w:val="003658F5"/>
    <w:rsid w:val="003675B2"/>
    <w:rsid w:val="003706CB"/>
    <w:rsid w:val="00372549"/>
    <w:rsid w:val="00376C53"/>
    <w:rsid w:val="00382EA9"/>
    <w:rsid w:val="003A13C7"/>
    <w:rsid w:val="003A25B1"/>
    <w:rsid w:val="003B050E"/>
    <w:rsid w:val="003C3EAD"/>
    <w:rsid w:val="003D103E"/>
    <w:rsid w:val="003D1421"/>
    <w:rsid w:val="003D7EB7"/>
    <w:rsid w:val="003E5D36"/>
    <w:rsid w:val="003E628D"/>
    <w:rsid w:val="00406205"/>
    <w:rsid w:val="0040791D"/>
    <w:rsid w:val="00422A59"/>
    <w:rsid w:val="00426FAE"/>
    <w:rsid w:val="0044364F"/>
    <w:rsid w:val="0044714E"/>
    <w:rsid w:val="00471019"/>
    <w:rsid w:val="004744FB"/>
    <w:rsid w:val="00490DC8"/>
    <w:rsid w:val="00491045"/>
    <w:rsid w:val="00491CD9"/>
    <w:rsid w:val="00491DD0"/>
    <w:rsid w:val="00492797"/>
    <w:rsid w:val="004944F0"/>
    <w:rsid w:val="00497A96"/>
    <w:rsid w:val="004A13C4"/>
    <w:rsid w:val="004A1E31"/>
    <w:rsid w:val="004A2ADD"/>
    <w:rsid w:val="004A3371"/>
    <w:rsid w:val="004A3618"/>
    <w:rsid w:val="004A4206"/>
    <w:rsid w:val="004B5357"/>
    <w:rsid w:val="004E7C15"/>
    <w:rsid w:val="00503CFE"/>
    <w:rsid w:val="00504FC7"/>
    <w:rsid w:val="00507E77"/>
    <w:rsid w:val="005135F5"/>
    <w:rsid w:val="00514DA2"/>
    <w:rsid w:val="0051653C"/>
    <w:rsid w:val="005224FF"/>
    <w:rsid w:val="00525011"/>
    <w:rsid w:val="0053575A"/>
    <w:rsid w:val="00573587"/>
    <w:rsid w:val="005754E3"/>
    <w:rsid w:val="00575761"/>
    <w:rsid w:val="00587A30"/>
    <w:rsid w:val="00590A5E"/>
    <w:rsid w:val="00590FB0"/>
    <w:rsid w:val="005A38F1"/>
    <w:rsid w:val="005B0036"/>
    <w:rsid w:val="005B0AA3"/>
    <w:rsid w:val="005B1510"/>
    <w:rsid w:val="005B347B"/>
    <w:rsid w:val="005C232B"/>
    <w:rsid w:val="005D35B2"/>
    <w:rsid w:val="005E2A36"/>
    <w:rsid w:val="005F6015"/>
    <w:rsid w:val="00601B0C"/>
    <w:rsid w:val="006157FC"/>
    <w:rsid w:val="00625EF7"/>
    <w:rsid w:val="00626FCD"/>
    <w:rsid w:val="00632351"/>
    <w:rsid w:val="0063294C"/>
    <w:rsid w:val="0064708C"/>
    <w:rsid w:val="006502D5"/>
    <w:rsid w:val="0065717E"/>
    <w:rsid w:val="006641B5"/>
    <w:rsid w:val="00666B6E"/>
    <w:rsid w:val="006739A7"/>
    <w:rsid w:val="0067689C"/>
    <w:rsid w:val="00682F81"/>
    <w:rsid w:val="00692115"/>
    <w:rsid w:val="006A29A7"/>
    <w:rsid w:val="006A5139"/>
    <w:rsid w:val="006B274F"/>
    <w:rsid w:val="006C306E"/>
    <w:rsid w:val="006D0D33"/>
    <w:rsid w:val="006E02DA"/>
    <w:rsid w:val="006E1FFE"/>
    <w:rsid w:val="006F00B8"/>
    <w:rsid w:val="006F0BA7"/>
    <w:rsid w:val="006F4FDD"/>
    <w:rsid w:val="00706679"/>
    <w:rsid w:val="00715B78"/>
    <w:rsid w:val="00724104"/>
    <w:rsid w:val="007316DF"/>
    <w:rsid w:val="00737CBD"/>
    <w:rsid w:val="007526C2"/>
    <w:rsid w:val="00760795"/>
    <w:rsid w:val="00784045"/>
    <w:rsid w:val="0079716C"/>
    <w:rsid w:val="007A0D31"/>
    <w:rsid w:val="007C475C"/>
    <w:rsid w:val="007D0EC6"/>
    <w:rsid w:val="007E393C"/>
    <w:rsid w:val="00806A3A"/>
    <w:rsid w:val="00814D34"/>
    <w:rsid w:val="00816FD8"/>
    <w:rsid w:val="00833691"/>
    <w:rsid w:val="0083598E"/>
    <w:rsid w:val="0085574E"/>
    <w:rsid w:val="00874BD6"/>
    <w:rsid w:val="00877865"/>
    <w:rsid w:val="008803B1"/>
    <w:rsid w:val="0088043D"/>
    <w:rsid w:val="00880DEB"/>
    <w:rsid w:val="00881B4A"/>
    <w:rsid w:val="00887CBB"/>
    <w:rsid w:val="0089206D"/>
    <w:rsid w:val="008E3ACD"/>
    <w:rsid w:val="008E76AA"/>
    <w:rsid w:val="00902973"/>
    <w:rsid w:val="00903586"/>
    <w:rsid w:val="009107DF"/>
    <w:rsid w:val="009176BF"/>
    <w:rsid w:val="0092754D"/>
    <w:rsid w:val="009345EB"/>
    <w:rsid w:val="00951372"/>
    <w:rsid w:val="009526C3"/>
    <w:rsid w:val="009532DE"/>
    <w:rsid w:val="00961369"/>
    <w:rsid w:val="00961848"/>
    <w:rsid w:val="00965EC1"/>
    <w:rsid w:val="009702FF"/>
    <w:rsid w:val="00975934"/>
    <w:rsid w:val="009852A5"/>
    <w:rsid w:val="0099316B"/>
    <w:rsid w:val="009A4BB9"/>
    <w:rsid w:val="009A4CE5"/>
    <w:rsid w:val="009A74F4"/>
    <w:rsid w:val="009C071F"/>
    <w:rsid w:val="009C44E1"/>
    <w:rsid w:val="009C79A9"/>
    <w:rsid w:val="009D0A8C"/>
    <w:rsid w:val="009D2FF7"/>
    <w:rsid w:val="009D5825"/>
    <w:rsid w:val="009F7876"/>
    <w:rsid w:val="00A00449"/>
    <w:rsid w:val="00A02920"/>
    <w:rsid w:val="00A06CC2"/>
    <w:rsid w:val="00A34910"/>
    <w:rsid w:val="00A429DE"/>
    <w:rsid w:val="00A50753"/>
    <w:rsid w:val="00A60130"/>
    <w:rsid w:val="00A809CF"/>
    <w:rsid w:val="00A938DE"/>
    <w:rsid w:val="00AB3D49"/>
    <w:rsid w:val="00AB525D"/>
    <w:rsid w:val="00AB7274"/>
    <w:rsid w:val="00AC6763"/>
    <w:rsid w:val="00AD033D"/>
    <w:rsid w:val="00AD066C"/>
    <w:rsid w:val="00AD0E9A"/>
    <w:rsid w:val="00AD725A"/>
    <w:rsid w:val="00AE6A05"/>
    <w:rsid w:val="00AE7D70"/>
    <w:rsid w:val="00AF0B7F"/>
    <w:rsid w:val="00AF68C1"/>
    <w:rsid w:val="00AF7E5B"/>
    <w:rsid w:val="00B016C8"/>
    <w:rsid w:val="00B07A53"/>
    <w:rsid w:val="00B10907"/>
    <w:rsid w:val="00B119D1"/>
    <w:rsid w:val="00B155CE"/>
    <w:rsid w:val="00B22D34"/>
    <w:rsid w:val="00B338B7"/>
    <w:rsid w:val="00B35D9F"/>
    <w:rsid w:val="00B46E18"/>
    <w:rsid w:val="00B46EA7"/>
    <w:rsid w:val="00B55E2A"/>
    <w:rsid w:val="00B911E1"/>
    <w:rsid w:val="00B9143F"/>
    <w:rsid w:val="00B94AFB"/>
    <w:rsid w:val="00BA0770"/>
    <w:rsid w:val="00BB3C94"/>
    <w:rsid w:val="00BB66F3"/>
    <w:rsid w:val="00BD08E5"/>
    <w:rsid w:val="00BD4A93"/>
    <w:rsid w:val="00C02FED"/>
    <w:rsid w:val="00C10CB6"/>
    <w:rsid w:val="00C12D45"/>
    <w:rsid w:val="00C15588"/>
    <w:rsid w:val="00C158D5"/>
    <w:rsid w:val="00C209EA"/>
    <w:rsid w:val="00C24711"/>
    <w:rsid w:val="00C27989"/>
    <w:rsid w:val="00C366D1"/>
    <w:rsid w:val="00C542B8"/>
    <w:rsid w:val="00C563BD"/>
    <w:rsid w:val="00C608A3"/>
    <w:rsid w:val="00C64004"/>
    <w:rsid w:val="00C70AC7"/>
    <w:rsid w:val="00C7252D"/>
    <w:rsid w:val="00C75897"/>
    <w:rsid w:val="00C759B6"/>
    <w:rsid w:val="00C7620F"/>
    <w:rsid w:val="00CA068A"/>
    <w:rsid w:val="00CA7372"/>
    <w:rsid w:val="00CB0B03"/>
    <w:rsid w:val="00CB2414"/>
    <w:rsid w:val="00CB4C37"/>
    <w:rsid w:val="00CB4FB8"/>
    <w:rsid w:val="00CC0009"/>
    <w:rsid w:val="00CC575E"/>
    <w:rsid w:val="00CD26B8"/>
    <w:rsid w:val="00CD32C7"/>
    <w:rsid w:val="00CD7F8B"/>
    <w:rsid w:val="00CF477B"/>
    <w:rsid w:val="00D128E9"/>
    <w:rsid w:val="00D325E4"/>
    <w:rsid w:val="00D35972"/>
    <w:rsid w:val="00D52D44"/>
    <w:rsid w:val="00D63059"/>
    <w:rsid w:val="00D63BE7"/>
    <w:rsid w:val="00D77486"/>
    <w:rsid w:val="00D86D75"/>
    <w:rsid w:val="00DA5A2F"/>
    <w:rsid w:val="00DB5DD6"/>
    <w:rsid w:val="00DE5574"/>
    <w:rsid w:val="00DF4B1B"/>
    <w:rsid w:val="00E006EA"/>
    <w:rsid w:val="00E0579B"/>
    <w:rsid w:val="00E20011"/>
    <w:rsid w:val="00E30210"/>
    <w:rsid w:val="00E40315"/>
    <w:rsid w:val="00E447F1"/>
    <w:rsid w:val="00E67843"/>
    <w:rsid w:val="00E80AE2"/>
    <w:rsid w:val="00E81A58"/>
    <w:rsid w:val="00E83298"/>
    <w:rsid w:val="00E96232"/>
    <w:rsid w:val="00EA3700"/>
    <w:rsid w:val="00EB60FC"/>
    <w:rsid w:val="00EC4CA1"/>
    <w:rsid w:val="00EC52A1"/>
    <w:rsid w:val="00EC6665"/>
    <w:rsid w:val="00ED12A8"/>
    <w:rsid w:val="00ED28A8"/>
    <w:rsid w:val="00ED296B"/>
    <w:rsid w:val="00ED582C"/>
    <w:rsid w:val="00EF3576"/>
    <w:rsid w:val="00EF3688"/>
    <w:rsid w:val="00EF58CB"/>
    <w:rsid w:val="00F03A5F"/>
    <w:rsid w:val="00F06DEC"/>
    <w:rsid w:val="00F171D7"/>
    <w:rsid w:val="00F3730E"/>
    <w:rsid w:val="00F45328"/>
    <w:rsid w:val="00F45E16"/>
    <w:rsid w:val="00F534D5"/>
    <w:rsid w:val="00F60A81"/>
    <w:rsid w:val="00F736C9"/>
    <w:rsid w:val="00F96387"/>
    <w:rsid w:val="00FA4301"/>
    <w:rsid w:val="00FB2371"/>
    <w:rsid w:val="00FB595A"/>
    <w:rsid w:val="00FC12D3"/>
    <w:rsid w:val="00FE07C8"/>
    <w:rsid w:val="00FE145F"/>
    <w:rsid w:val="00FF09A2"/>
    <w:rsid w:val="00FF274B"/>
    <w:rsid w:val="00FF45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4CF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A28"/>
    <w:pPr>
      <w:spacing w:after="0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107A28"/>
    <w:pPr>
      <w:spacing w:after="0" w:line="360" w:lineRule="auto"/>
    </w:pPr>
    <w:rPr>
      <w:rFonts w:ascii="Times New Roman" w:eastAsia="Times New Roman" w:hAnsi="Times New Roman" w:cs="Times New Roman"/>
      <w:b/>
      <w:lang w:eastAsia="en-US"/>
    </w:rPr>
  </w:style>
  <w:style w:type="character" w:customStyle="1" w:styleId="SubtitleChar">
    <w:name w:val="Subtitle Char"/>
    <w:basedOn w:val="DefaultParagraphFont"/>
    <w:link w:val="Subtitle"/>
    <w:rsid w:val="00107A28"/>
    <w:rPr>
      <w:rFonts w:ascii="Times New Roman" w:eastAsia="Times New Roman" w:hAnsi="Times New Roman" w:cs="Times New Roman"/>
      <w:b/>
      <w:lang w:eastAsia="en-US"/>
    </w:rPr>
  </w:style>
  <w:style w:type="paragraph" w:styleId="ListParagraph">
    <w:name w:val="List Paragraph"/>
    <w:basedOn w:val="Normal"/>
    <w:uiPriority w:val="34"/>
    <w:qFormat/>
    <w:rsid w:val="00107A28"/>
    <w:pPr>
      <w:spacing w:after="0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155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55CE"/>
  </w:style>
  <w:style w:type="paragraph" w:styleId="Footer">
    <w:name w:val="footer"/>
    <w:basedOn w:val="Normal"/>
    <w:link w:val="FooterChar"/>
    <w:uiPriority w:val="99"/>
    <w:unhideWhenUsed/>
    <w:rsid w:val="00B155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55CE"/>
  </w:style>
  <w:style w:type="character" w:styleId="PageNumber">
    <w:name w:val="page number"/>
    <w:basedOn w:val="DefaultParagraphFont"/>
    <w:uiPriority w:val="99"/>
    <w:semiHidden/>
    <w:unhideWhenUsed/>
    <w:rsid w:val="00B155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A28"/>
    <w:pPr>
      <w:spacing w:after="0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107A28"/>
    <w:pPr>
      <w:spacing w:after="0" w:line="360" w:lineRule="auto"/>
    </w:pPr>
    <w:rPr>
      <w:rFonts w:ascii="Times New Roman" w:eastAsia="Times New Roman" w:hAnsi="Times New Roman" w:cs="Times New Roman"/>
      <w:b/>
      <w:lang w:eastAsia="en-US"/>
    </w:rPr>
  </w:style>
  <w:style w:type="character" w:customStyle="1" w:styleId="SubtitleChar">
    <w:name w:val="Subtitle Char"/>
    <w:basedOn w:val="DefaultParagraphFont"/>
    <w:link w:val="Subtitle"/>
    <w:rsid w:val="00107A28"/>
    <w:rPr>
      <w:rFonts w:ascii="Times New Roman" w:eastAsia="Times New Roman" w:hAnsi="Times New Roman" w:cs="Times New Roman"/>
      <w:b/>
      <w:lang w:eastAsia="en-US"/>
    </w:rPr>
  </w:style>
  <w:style w:type="paragraph" w:styleId="ListParagraph">
    <w:name w:val="List Paragraph"/>
    <w:basedOn w:val="Normal"/>
    <w:uiPriority w:val="34"/>
    <w:qFormat/>
    <w:rsid w:val="00107A28"/>
    <w:pPr>
      <w:spacing w:after="0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155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55CE"/>
  </w:style>
  <w:style w:type="paragraph" w:styleId="Footer">
    <w:name w:val="footer"/>
    <w:basedOn w:val="Normal"/>
    <w:link w:val="FooterChar"/>
    <w:uiPriority w:val="99"/>
    <w:unhideWhenUsed/>
    <w:rsid w:val="00B155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55CE"/>
  </w:style>
  <w:style w:type="character" w:styleId="PageNumber">
    <w:name w:val="page number"/>
    <w:basedOn w:val="DefaultParagraphFont"/>
    <w:uiPriority w:val="99"/>
    <w:semiHidden/>
    <w:unhideWhenUsed/>
    <w:rsid w:val="00B1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633</Words>
  <Characters>3614</Characters>
  <Application>Microsoft Macintosh Word</Application>
  <DocSecurity>0</DocSecurity>
  <Lines>30</Lines>
  <Paragraphs>8</Paragraphs>
  <ScaleCrop>false</ScaleCrop>
  <Company>FCRC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 Blair</dc:creator>
  <cp:keywords/>
  <dc:description/>
  <cp:lastModifiedBy>Jeff  Blair</cp:lastModifiedBy>
  <cp:revision>21</cp:revision>
  <cp:lastPrinted>2020-07-31T20:09:00Z</cp:lastPrinted>
  <dcterms:created xsi:type="dcterms:W3CDTF">2020-07-23T18:23:00Z</dcterms:created>
  <dcterms:modified xsi:type="dcterms:W3CDTF">2020-07-31T20:09:00Z</dcterms:modified>
</cp:coreProperties>
</file>