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DF" w:rsidRPr="004C76DF" w:rsidRDefault="004C76DF" w:rsidP="004C76DF">
      <w:pPr>
        <w:pBdr>
          <w:top w:val="double" w:sz="4" w:space="1" w:color="auto"/>
          <w:left w:val="double" w:sz="4" w:space="4" w:color="auto"/>
          <w:bottom w:val="double" w:sz="4" w:space="1" w:color="auto"/>
          <w:right w:val="double" w:sz="4" w:space="4" w:color="auto"/>
        </w:pBdr>
        <w:shd w:val="clear" w:color="auto" w:fill="4F81BD"/>
        <w:spacing w:line="360" w:lineRule="auto"/>
        <w:jc w:val="center"/>
        <w:rPr>
          <w:rFonts w:ascii="Garamond" w:eastAsia="Times New Roman" w:hAnsi="Garamond"/>
          <w:b/>
          <w:smallCaps/>
          <w:color w:val="FFFFFF"/>
          <w:sz w:val="28"/>
        </w:rPr>
      </w:pPr>
      <w:r w:rsidRPr="004C76DF">
        <w:rPr>
          <w:rFonts w:ascii="Garamond" w:eastAsia="Times New Roman" w:hAnsi="Garamond"/>
          <w:b/>
          <w:smallCaps/>
          <w:color w:val="FFFFFF"/>
          <w:sz w:val="28"/>
        </w:rPr>
        <w:t>Florida Building Commission</w:t>
      </w:r>
    </w:p>
    <w:p w:rsidR="004C76DF" w:rsidRPr="004C76DF" w:rsidRDefault="004C76DF" w:rsidP="004C76DF">
      <w:pPr>
        <w:pBdr>
          <w:top w:val="double" w:sz="4" w:space="1" w:color="auto"/>
          <w:left w:val="double" w:sz="4" w:space="4" w:color="auto"/>
          <w:bottom w:val="double" w:sz="4" w:space="1" w:color="auto"/>
          <w:right w:val="double" w:sz="4" w:space="4" w:color="auto"/>
        </w:pBdr>
        <w:shd w:val="clear" w:color="auto" w:fill="4F81BD"/>
        <w:spacing w:line="360" w:lineRule="auto"/>
        <w:jc w:val="center"/>
        <w:rPr>
          <w:rFonts w:ascii="Garamond" w:eastAsia="Times New Roman" w:hAnsi="Garamond"/>
          <w:b/>
          <w:smallCaps/>
          <w:color w:val="FFFFFF"/>
          <w:sz w:val="28"/>
        </w:rPr>
      </w:pPr>
      <w:r w:rsidRPr="004C76DF">
        <w:rPr>
          <w:rFonts w:ascii="Garamond" w:eastAsia="Times New Roman" w:hAnsi="Garamond"/>
          <w:b/>
          <w:smallCaps/>
          <w:color w:val="FFFFFF"/>
          <w:sz w:val="28"/>
        </w:rPr>
        <w:t>Swimming Pool Electrical Safety Project</w:t>
      </w:r>
    </w:p>
    <w:p w:rsidR="004C76DF" w:rsidRDefault="004C76DF" w:rsidP="004C76DF">
      <w:pPr>
        <w:jc w:val="both"/>
        <w:rPr>
          <w:rFonts w:ascii="Garamond" w:hAnsi="Garamond"/>
          <w:b/>
        </w:rPr>
      </w:pPr>
    </w:p>
    <w:p w:rsidR="004C76DF" w:rsidRDefault="00676B62" w:rsidP="004C76DF">
      <w:pPr>
        <w:jc w:val="both"/>
        <w:rPr>
          <w:rFonts w:ascii="Garamond" w:hAnsi="Garamond"/>
          <w:b/>
        </w:rPr>
      </w:pPr>
      <w:r>
        <w:rPr>
          <w:rFonts w:ascii="Garamond" w:hAnsi="Garamond"/>
          <w:b/>
        </w:rPr>
        <w:t>Phase II: Development</w:t>
      </w:r>
    </w:p>
    <w:p w:rsidR="005F4597" w:rsidRDefault="005F4597" w:rsidP="004C76DF">
      <w:pPr>
        <w:jc w:val="both"/>
        <w:rPr>
          <w:rFonts w:ascii="Garamond" w:hAnsi="Garamond"/>
          <w:b/>
        </w:rPr>
      </w:pPr>
    </w:p>
    <w:p w:rsidR="005F4597" w:rsidRDefault="005F4597" w:rsidP="004C76DF">
      <w:pPr>
        <w:jc w:val="both"/>
        <w:rPr>
          <w:rFonts w:ascii="Garamond" w:hAnsi="Garamond"/>
          <w:b/>
        </w:rPr>
      </w:pPr>
      <w:r w:rsidRPr="005F4597">
        <w:rPr>
          <w:rFonts w:ascii="Garamond" w:hAnsi="Garamond"/>
          <w:b/>
          <w:color w:val="FF0000"/>
        </w:rPr>
        <w:t xml:space="preserve">Note: </w:t>
      </w:r>
      <w:r>
        <w:rPr>
          <w:rFonts w:ascii="Garamond" w:hAnsi="Garamond"/>
          <w:b/>
        </w:rPr>
        <w:t xml:space="preserve">Proposed code modifications and the fact sheet/training educational module </w:t>
      </w:r>
      <w:r w:rsidR="00E24571">
        <w:rPr>
          <w:rFonts w:ascii="Garamond" w:hAnsi="Garamond"/>
          <w:b/>
        </w:rPr>
        <w:t>as detailed</w:t>
      </w:r>
      <w:r>
        <w:rPr>
          <w:rFonts w:ascii="Garamond" w:hAnsi="Garamond"/>
          <w:b/>
        </w:rPr>
        <w:t xml:space="preserve"> in this document are for information and not for discussion. </w:t>
      </w:r>
    </w:p>
    <w:p w:rsidR="00676B62" w:rsidRDefault="00676B62" w:rsidP="004C76DF">
      <w:pPr>
        <w:jc w:val="both"/>
        <w:rPr>
          <w:rFonts w:ascii="Garamond" w:hAnsi="Garamond"/>
          <w:b/>
        </w:rPr>
      </w:pPr>
    </w:p>
    <w:p w:rsidR="004C76DF" w:rsidRDefault="004C76DF" w:rsidP="004C76DF">
      <w:pPr>
        <w:jc w:val="both"/>
        <w:rPr>
          <w:rFonts w:ascii="Garamond" w:hAnsi="Garamond"/>
          <w:b/>
        </w:rPr>
      </w:pPr>
      <w:r>
        <w:rPr>
          <w:rFonts w:ascii="Garamond" w:hAnsi="Garamond"/>
          <w:b/>
        </w:rPr>
        <w:t>Recommendations as approved by The Commission October 15, 2015</w:t>
      </w:r>
    </w:p>
    <w:p w:rsidR="004C76DF" w:rsidRDefault="004C76DF" w:rsidP="004C76DF">
      <w:pPr>
        <w:jc w:val="both"/>
        <w:rPr>
          <w:rFonts w:ascii="Garamond" w:hAnsi="Garamond"/>
          <w:b/>
        </w:rPr>
      </w:pPr>
    </w:p>
    <w:p w:rsidR="004C76DF" w:rsidRPr="00627500" w:rsidRDefault="004C76DF" w:rsidP="004C76DF">
      <w:pPr>
        <w:jc w:val="both"/>
        <w:rPr>
          <w:rFonts w:ascii="Garamond" w:hAnsi="Garamond"/>
          <w:b/>
        </w:rPr>
      </w:pPr>
      <w:r w:rsidRPr="00627500">
        <w:rPr>
          <w:rFonts w:ascii="Garamond" w:hAnsi="Garamond"/>
          <w:b/>
        </w:rPr>
        <w:t>Grounding</w:t>
      </w:r>
    </w:p>
    <w:p w:rsidR="004C76DF" w:rsidRDefault="004C76DF" w:rsidP="004C76DF">
      <w:pPr>
        <w:jc w:val="both"/>
        <w:rPr>
          <w:rFonts w:ascii="Garamond" w:hAnsi="Garamond" w:cs="Arial"/>
          <w:lang w:bidi="x-none"/>
        </w:rPr>
      </w:pPr>
      <w:r w:rsidRPr="00627500">
        <w:rPr>
          <w:rFonts w:ascii="Garamond" w:hAnsi="Garamond" w:cs="Arial"/>
          <w:lang w:bidi="x-none"/>
        </w:rPr>
        <w:t xml:space="preserve">The Electrical TAC and the Swimming Pool TAC voted unanimously to recommend that the Commission charge staff </w:t>
      </w:r>
      <w:r>
        <w:rPr>
          <w:rFonts w:ascii="Garamond" w:hAnsi="Garamond" w:cs="Arial"/>
          <w:lang w:bidi="x-none"/>
        </w:rPr>
        <w:t xml:space="preserve">to work with the TAC chairs and in consultation </w:t>
      </w:r>
      <w:r w:rsidRPr="00627500">
        <w:rPr>
          <w:rFonts w:ascii="Garamond" w:hAnsi="Garamond" w:cs="Arial"/>
          <w:lang w:bidi="x-none"/>
        </w:rPr>
        <w:t>with stakeholders</w:t>
      </w:r>
      <w:r>
        <w:rPr>
          <w:rFonts w:ascii="Garamond" w:hAnsi="Garamond" w:cs="Arial"/>
          <w:lang w:bidi="x-none"/>
        </w:rPr>
        <w:t xml:space="preserve"> to formulate a code amendment requiring that</w:t>
      </w:r>
      <w:r w:rsidRPr="00627500">
        <w:rPr>
          <w:rFonts w:ascii="Garamond" w:hAnsi="Garamond" w:cs="Arial"/>
          <w:lang w:bidi="x-none"/>
        </w:rPr>
        <w:t xml:space="preserve"> all </w:t>
      </w:r>
      <w:r>
        <w:rPr>
          <w:rFonts w:ascii="Garamond" w:hAnsi="Garamond" w:cs="Arial"/>
          <w:lang w:bidi="x-none"/>
        </w:rPr>
        <w:t xml:space="preserve">electrical </w:t>
      </w:r>
      <w:r w:rsidRPr="00627500">
        <w:rPr>
          <w:rFonts w:ascii="Garamond" w:hAnsi="Garamond" w:cs="Arial"/>
          <w:lang w:bidi="x-none"/>
        </w:rPr>
        <w:t>circuits feeding equipment that could</w:t>
      </w:r>
      <w:r>
        <w:rPr>
          <w:rFonts w:ascii="Garamond" w:hAnsi="Garamond" w:cs="Arial"/>
          <w:lang w:bidi="x-none"/>
        </w:rPr>
        <w:t xml:space="preserve"> potentially</w:t>
      </w:r>
      <w:r w:rsidRPr="00627500">
        <w:rPr>
          <w:rFonts w:ascii="Garamond" w:hAnsi="Garamond" w:cs="Arial"/>
          <w:lang w:bidi="x-none"/>
        </w:rPr>
        <w:t xml:space="preserve"> energize a pool have GFCI protection for new residential and commercial swimming pools (</w:t>
      </w:r>
      <w:r>
        <w:rPr>
          <w:rFonts w:ascii="Garamond" w:hAnsi="Garamond" w:cs="Arial"/>
          <w:lang w:bidi="x-none"/>
        </w:rPr>
        <w:t xml:space="preserve">the goal is to </w:t>
      </w:r>
      <w:r w:rsidRPr="00627500">
        <w:rPr>
          <w:rFonts w:ascii="Garamond" w:hAnsi="Garamond" w:cs="Arial"/>
          <w:lang w:bidi="x-none"/>
        </w:rPr>
        <w:t xml:space="preserve">fill in any gaps in the </w:t>
      </w:r>
      <w:r>
        <w:rPr>
          <w:rFonts w:ascii="Garamond" w:hAnsi="Garamond" w:cs="Arial"/>
          <w:lang w:bidi="x-none"/>
        </w:rPr>
        <w:t>current</w:t>
      </w:r>
      <w:r w:rsidRPr="00627500">
        <w:rPr>
          <w:rFonts w:ascii="Garamond" w:hAnsi="Garamond" w:cs="Arial"/>
          <w:lang w:bidi="x-none"/>
        </w:rPr>
        <w:t xml:space="preserve"> Code).</w:t>
      </w:r>
    </w:p>
    <w:p w:rsidR="004C76DF" w:rsidRDefault="004C76DF" w:rsidP="004C76DF">
      <w:pPr>
        <w:jc w:val="both"/>
        <w:rPr>
          <w:rFonts w:ascii="Garamond" w:hAnsi="Garamond" w:cs="Arial"/>
          <w:lang w:bidi="x-none"/>
        </w:rPr>
      </w:pPr>
    </w:p>
    <w:p w:rsidR="00DF0959" w:rsidRDefault="00DF0959" w:rsidP="00DF0959">
      <w:pPr>
        <w:jc w:val="both"/>
        <w:rPr>
          <w:rFonts w:ascii="Garamond" w:hAnsi="Garamond"/>
          <w:b/>
        </w:rPr>
      </w:pPr>
      <w:r>
        <w:rPr>
          <w:rFonts w:ascii="Garamond" w:hAnsi="Garamond"/>
          <w:b/>
        </w:rPr>
        <w:t>Code amendments</w:t>
      </w:r>
      <w:r w:rsidR="00E411A0">
        <w:rPr>
          <w:rFonts w:ascii="Garamond" w:hAnsi="Garamond"/>
          <w:b/>
        </w:rPr>
        <w:t>/Progress to date</w:t>
      </w:r>
      <w:r>
        <w:rPr>
          <w:rFonts w:ascii="Garamond" w:hAnsi="Garamond"/>
          <w:b/>
        </w:rPr>
        <w:t>:</w:t>
      </w:r>
    </w:p>
    <w:p w:rsidR="00DF0959" w:rsidRDefault="00DF0959" w:rsidP="00DF0959">
      <w:pPr>
        <w:jc w:val="both"/>
        <w:rPr>
          <w:rFonts w:ascii="Garamond" w:hAnsi="Garamond"/>
          <w:b/>
        </w:rPr>
      </w:pPr>
    </w:p>
    <w:p w:rsidR="00E22C18" w:rsidRDefault="00E22C18" w:rsidP="00E22C18">
      <w:pPr>
        <w:jc w:val="both"/>
        <w:rPr>
          <w:rFonts w:ascii="Garamond" w:hAnsi="Garamond"/>
          <w:b/>
        </w:rPr>
      </w:pPr>
      <w:r>
        <w:rPr>
          <w:rFonts w:ascii="Garamond" w:hAnsi="Garamond"/>
          <w:b/>
        </w:rPr>
        <w:t>6</w:t>
      </w:r>
      <w:r w:rsidRPr="00DF0959">
        <w:rPr>
          <w:rFonts w:ascii="Garamond" w:hAnsi="Garamond"/>
          <w:b/>
          <w:vertAlign w:val="superscript"/>
        </w:rPr>
        <w:t>th</w:t>
      </w:r>
      <w:r>
        <w:rPr>
          <w:rFonts w:ascii="Garamond" w:hAnsi="Garamond"/>
          <w:b/>
        </w:rPr>
        <w:t xml:space="preserve"> Edition (2017) FBC, Buildings</w:t>
      </w:r>
    </w:p>
    <w:p w:rsidR="00E22C18" w:rsidRDefault="00E22C18" w:rsidP="00DF0959">
      <w:pPr>
        <w:jc w:val="both"/>
        <w:rPr>
          <w:rFonts w:ascii="Garamond" w:hAnsi="Garamond"/>
          <w:b/>
        </w:rPr>
      </w:pPr>
    </w:p>
    <w:tbl>
      <w:tblPr>
        <w:tblW w:w="4250" w:type="pct"/>
        <w:tblCellSpacing w:w="7" w:type="dxa"/>
        <w:tblCellMar>
          <w:top w:w="30" w:type="dxa"/>
          <w:left w:w="30" w:type="dxa"/>
          <w:bottom w:w="30" w:type="dxa"/>
          <w:right w:w="30" w:type="dxa"/>
        </w:tblCellMar>
        <w:tblLook w:val="04A0" w:firstRow="1" w:lastRow="0" w:firstColumn="1" w:lastColumn="0" w:noHBand="0" w:noVBand="1"/>
        <w:tblDescription w:val="This table holds the Read-only version of the Proposed Code Modification"/>
      </w:tblPr>
      <w:tblGrid>
        <w:gridCol w:w="8031"/>
      </w:tblGrid>
      <w:tr w:rsidR="00E22C18" w:rsidRPr="00E22C18">
        <w:trPr>
          <w:tblCellSpacing w:w="7" w:type="dxa"/>
        </w:trPr>
        <w:tc>
          <w:tcPr>
            <w:tcW w:w="0" w:type="auto"/>
            <w:vAlign w:val="center"/>
            <w:hideMark/>
          </w:tcPr>
          <w:p w:rsidR="00E22C18" w:rsidRPr="00E22C18" w:rsidRDefault="00E22C18" w:rsidP="00E22C18">
            <w:pPr>
              <w:spacing w:before="100" w:beforeAutospacing="1" w:after="100" w:afterAutospacing="1"/>
              <w:rPr>
                <w:rFonts w:ascii="Calibri" w:eastAsia="Times New Roman" w:hAnsi="Calibri"/>
                <w:b/>
                <w:bCs/>
                <w:color w:val="FF0000"/>
                <w:szCs w:val="24"/>
              </w:rPr>
            </w:pPr>
            <w:r w:rsidRPr="00E22C18">
              <w:rPr>
                <w:rFonts w:ascii="Calibri" w:eastAsia="Times New Roman" w:hAnsi="Calibri"/>
                <w:b/>
                <w:bCs/>
                <w:color w:val="FF0000"/>
                <w:szCs w:val="24"/>
              </w:rPr>
              <w:t>(E6452)</w:t>
            </w:r>
          </w:p>
          <w:p w:rsidR="00E22C18" w:rsidRDefault="00E22C18" w:rsidP="00E22C18">
            <w:pPr>
              <w:spacing w:before="100" w:beforeAutospacing="1" w:after="100" w:afterAutospacing="1"/>
              <w:rPr>
                <w:rFonts w:ascii="Calibri" w:eastAsia="Times New Roman" w:hAnsi="Calibri"/>
                <w:strike/>
                <w:color w:val="FF0000"/>
                <w:szCs w:val="24"/>
              </w:rPr>
            </w:pPr>
            <w:r w:rsidRPr="00E22C18">
              <w:rPr>
                <w:rFonts w:ascii="Calibri" w:eastAsia="Times New Roman" w:hAnsi="Calibri"/>
                <w:b/>
                <w:bCs/>
                <w:color w:val="000000"/>
                <w:szCs w:val="24"/>
              </w:rPr>
              <w:t>454.1.4.2.3 Underwater lighting.</w:t>
            </w:r>
            <w:r w:rsidRPr="00E22C18">
              <w:rPr>
                <w:rFonts w:ascii="Calibri" w:eastAsia="Times New Roman" w:hAnsi="Calibri"/>
                <w:color w:val="000000"/>
                <w:szCs w:val="24"/>
              </w:rPr>
              <w:t xml:space="preserve"> </w:t>
            </w:r>
            <w:r w:rsidRPr="00E22C18">
              <w:rPr>
                <w:rFonts w:ascii="Calibri" w:eastAsia="Times New Roman" w:hAnsi="Calibri"/>
                <w:color w:val="0000FF"/>
                <w:szCs w:val="24"/>
                <w:u w:val="single"/>
              </w:rPr>
              <w:t>Underwater luminaires shall comply with Chapter 27 of the Florida Building Code, Building.</w:t>
            </w:r>
            <w:r w:rsidRPr="00E22C18">
              <w:rPr>
                <w:rFonts w:ascii="Calibri" w:eastAsia="Times New Roman" w:hAnsi="Calibri"/>
                <w:color w:val="000000"/>
                <w:szCs w:val="24"/>
              </w:rPr>
              <w:t xml:space="preserve"> </w:t>
            </w:r>
            <w:r w:rsidRPr="00E22C18">
              <w:rPr>
                <w:rFonts w:ascii="Calibri" w:eastAsia="Times New Roman" w:hAnsi="Calibri"/>
                <w:strike/>
                <w:color w:val="FF0000"/>
                <w:szCs w:val="24"/>
              </w:rPr>
              <w:t>Underwater lighting shall utilize transformers and low-voltage circuits with each underwater light being grounded. The maximum voltage for each light shall be 15 volts and the maximum incandescent lamp size shall be 300 watts.</w:t>
            </w:r>
            <w:r w:rsidRPr="00E22C18">
              <w:rPr>
                <w:rFonts w:ascii="Calibri" w:eastAsia="Times New Roman" w:hAnsi="Calibri"/>
                <w:color w:val="000000"/>
                <w:szCs w:val="24"/>
              </w:rPr>
              <w:t xml:space="preserve"> The location of the underwater</w:t>
            </w:r>
            <w:r w:rsidRPr="00E22C18">
              <w:rPr>
                <w:rFonts w:ascii="Calibri" w:eastAsia="Times New Roman" w:hAnsi="Calibri"/>
                <w:color w:val="FF0000"/>
                <w:szCs w:val="24"/>
              </w:rPr>
              <w:t xml:space="preserve"> </w:t>
            </w:r>
            <w:r w:rsidRPr="00E22C18">
              <w:rPr>
                <w:rFonts w:ascii="Calibri" w:eastAsia="Times New Roman" w:hAnsi="Calibri"/>
                <w:strike/>
                <w:color w:val="FF0000"/>
                <w:szCs w:val="24"/>
              </w:rPr>
              <w:t>lights</w:t>
            </w:r>
            <w:r w:rsidRPr="00E22C18">
              <w:rPr>
                <w:rFonts w:ascii="Calibri" w:eastAsia="Times New Roman" w:hAnsi="Calibri"/>
                <w:color w:val="000000"/>
                <w:szCs w:val="24"/>
              </w:rPr>
              <w:t xml:space="preserve"> </w:t>
            </w:r>
            <w:r w:rsidRPr="00E22C18">
              <w:rPr>
                <w:rFonts w:ascii="Calibri" w:eastAsia="Times New Roman" w:hAnsi="Calibri"/>
                <w:color w:val="0000FF"/>
                <w:szCs w:val="24"/>
                <w:u w:val="single"/>
              </w:rPr>
              <w:t>luminaires</w:t>
            </w:r>
            <w:r w:rsidRPr="00E22C18">
              <w:rPr>
                <w:rFonts w:ascii="Calibri" w:eastAsia="Times New Roman" w:hAnsi="Calibri"/>
                <w:color w:val="0000FF"/>
                <w:szCs w:val="24"/>
              </w:rPr>
              <w:t xml:space="preserve"> </w:t>
            </w:r>
            <w:r w:rsidRPr="00E22C18">
              <w:rPr>
                <w:rFonts w:ascii="Calibri" w:eastAsia="Times New Roman" w:hAnsi="Calibri"/>
                <w:color w:val="000000"/>
                <w:szCs w:val="24"/>
              </w:rPr>
              <w:t>shall be such that the underwater illumination is as uniform as possible.</w:t>
            </w:r>
            <w:r w:rsidRPr="00E22C18">
              <w:rPr>
                <w:rFonts w:ascii="Calibri" w:eastAsia="Times New Roman" w:hAnsi="Calibri"/>
                <w:strike/>
                <w:color w:val="000000"/>
                <w:szCs w:val="24"/>
              </w:rPr>
              <w:t xml:space="preserve"> </w:t>
            </w:r>
            <w:proofErr w:type="gramStart"/>
            <w:r w:rsidRPr="00E22C18">
              <w:rPr>
                <w:rFonts w:ascii="Calibri" w:eastAsia="Times New Roman" w:hAnsi="Calibri"/>
                <w:strike/>
                <w:color w:val="FF0000"/>
                <w:szCs w:val="24"/>
              </w:rPr>
              <w:t>and</w:t>
            </w:r>
            <w:proofErr w:type="gramEnd"/>
            <w:r w:rsidRPr="00E22C18">
              <w:rPr>
                <w:rFonts w:ascii="Calibri" w:eastAsia="Times New Roman" w:hAnsi="Calibri"/>
                <w:strike/>
                <w:color w:val="FF0000"/>
                <w:szCs w:val="24"/>
              </w:rPr>
              <w:t xml:space="preserve"> shall not be less than 18 inches (457 mm) below the normal operating water level determined by the center-line of the skimmer or top lip of the gutter. </w:t>
            </w:r>
            <w:bookmarkStart w:id="0" w:name="_GoBack"/>
            <w:bookmarkEnd w:id="0"/>
            <w:r w:rsidRPr="00E22C18">
              <w:rPr>
                <w:rFonts w:ascii="Calibri" w:eastAsia="Times New Roman" w:hAnsi="Calibri"/>
                <w:strike/>
                <w:color w:val="FF0000"/>
                <w:szCs w:val="24"/>
              </w:rPr>
              <w:t>All underwater lights which depend upon submersion for safe operation shall have protection from overheating when not submerged.</w:t>
            </w:r>
            <w:r w:rsidRPr="00E22C18">
              <w:rPr>
                <w:rFonts w:ascii="Calibri" w:eastAsia="Times New Roman" w:hAnsi="Calibri"/>
                <w:color w:val="000000"/>
                <w:szCs w:val="24"/>
              </w:rPr>
              <w:t xml:space="preserve"> Underwater lighting requirements can be waived when the overhead lighting provides at least 15 </w:t>
            </w:r>
            <w:proofErr w:type="spellStart"/>
            <w:r w:rsidRPr="00E22C18">
              <w:rPr>
                <w:rFonts w:ascii="Calibri" w:eastAsia="Times New Roman" w:hAnsi="Calibri"/>
                <w:color w:val="000000"/>
                <w:szCs w:val="24"/>
              </w:rPr>
              <w:t>footcandles</w:t>
            </w:r>
            <w:proofErr w:type="spellEnd"/>
            <w:r w:rsidRPr="00E22C18">
              <w:rPr>
                <w:rFonts w:ascii="Calibri" w:eastAsia="Times New Roman" w:hAnsi="Calibri"/>
                <w:color w:val="000000"/>
                <w:szCs w:val="24"/>
              </w:rPr>
              <w:t xml:space="preserve"> (150 lux) of illumination at the pool water surface and pool wet deck surface. </w:t>
            </w:r>
            <w:r w:rsidRPr="00E22C18">
              <w:rPr>
                <w:rFonts w:ascii="Calibri" w:eastAsia="Times New Roman" w:hAnsi="Calibri"/>
                <w:strike/>
                <w:color w:val="FF0000"/>
                <w:szCs w:val="24"/>
              </w:rPr>
              <w:t>Alternative lighting systems which use 15 volts or less, or use no electricity in the pool or on the pool deck, such as LED (light emitting diode) fiber-optic systems, may be utilized if the manufactures specifications provide for the equivalency in watt output.</w:t>
            </w:r>
          </w:p>
          <w:p w:rsidR="00E22C18" w:rsidRDefault="00AA1634" w:rsidP="00E22C18">
            <w:pPr>
              <w:spacing w:before="100" w:beforeAutospacing="1" w:after="100" w:afterAutospacing="1"/>
              <w:rPr>
                <w:rFonts w:ascii="Calibri" w:eastAsia="Times New Roman" w:hAnsi="Calibri"/>
                <w:b/>
                <w:color w:val="FF0000"/>
                <w:szCs w:val="24"/>
              </w:rPr>
            </w:pPr>
            <w:r w:rsidRPr="00AA1634">
              <w:rPr>
                <w:rFonts w:ascii="Calibri" w:eastAsia="Times New Roman" w:hAnsi="Calibri"/>
                <w:b/>
                <w:color w:val="FF0000"/>
                <w:szCs w:val="24"/>
              </w:rPr>
              <w:t>(E6531)</w:t>
            </w:r>
          </w:p>
          <w:p w:rsidR="00AA1634" w:rsidRDefault="00AA1634" w:rsidP="00AA1634">
            <w:pPr>
              <w:pStyle w:val="NormalWeb"/>
              <w:rPr>
                <w:color w:val="0070C0"/>
                <w:u w:val="single"/>
              </w:rPr>
            </w:pPr>
            <w:r>
              <w:rPr>
                <w:b/>
                <w:bCs/>
              </w:rPr>
              <w:t>454.1.4.1 Electrical equipment and wiring.</w:t>
            </w:r>
            <w:r>
              <w:t xml:space="preserve"> Electrical equipment wiring and installation, including the </w:t>
            </w:r>
            <w:r>
              <w:rPr>
                <w:color w:val="0070C0"/>
                <w:u w:val="single"/>
              </w:rPr>
              <w:t>bonding and</w:t>
            </w:r>
            <w:r>
              <w:rPr>
                <w:color w:val="0070C0"/>
              </w:rPr>
              <w:t xml:space="preserve"> </w:t>
            </w:r>
            <w:r>
              <w:t xml:space="preserve">grounding of pool components shall conform with Chapter 27 of the Florida Building Code, Building. </w:t>
            </w:r>
            <w:r>
              <w:rPr>
                <w:color w:val="0070C0"/>
                <w:u w:val="single"/>
              </w:rPr>
              <w:t xml:space="preserve">Outlets supplying pool equipment and underwater luminaires connected to single-phase, 120 volt through 240 volt branch circuits, rated 15 or 20 amperes, whether by </w:t>
            </w:r>
            <w:r>
              <w:rPr>
                <w:color w:val="0070C0"/>
                <w:u w:val="single"/>
              </w:rPr>
              <w:lastRenderedPageBreak/>
              <w:t>receptacle or by direct connection, shall be provided with ground-fault circuit interrupter protection for personnel.</w:t>
            </w:r>
          </w:p>
          <w:p w:rsidR="00AA1634" w:rsidRDefault="00AA1634" w:rsidP="00AA1634">
            <w:pPr>
              <w:pStyle w:val="NormalWeb"/>
              <w:rPr>
                <w:color w:val="0070C0"/>
                <w:u w:val="single"/>
              </w:rPr>
            </w:pPr>
            <w:r>
              <w:rPr>
                <w:b/>
                <w:bCs/>
              </w:rPr>
              <w:t>454.2.16 Electrical.</w:t>
            </w:r>
            <w:r>
              <w:t xml:space="preserve"> Electrical wiring and equipment shall comply with Chapter 27 of the Florida Building Code, Building. </w:t>
            </w:r>
            <w:r>
              <w:rPr>
                <w:color w:val="0070C0"/>
                <w:u w:val="single"/>
              </w:rPr>
              <w:t>Outlets supplying pool equipment and underwater luminaires connected to single-phase, 120 volt through 240 volt branch circuits, rated 15 or 20 amperes, whether by receptacle or by direct connection, shall be provided with ground-fault circuit interrupter protection for personnel.</w:t>
            </w:r>
          </w:p>
          <w:p w:rsidR="00AA1634" w:rsidRPr="00AA1634" w:rsidRDefault="00AA1634" w:rsidP="00AA1634">
            <w:pPr>
              <w:pStyle w:val="NormalWeb"/>
              <w:rPr>
                <w:b/>
                <w:color w:val="FF0000"/>
              </w:rPr>
            </w:pPr>
            <w:r w:rsidRPr="00AA1634">
              <w:rPr>
                <w:b/>
                <w:color w:val="FF0000"/>
              </w:rPr>
              <w:t>(E6530)</w:t>
            </w:r>
          </w:p>
          <w:p w:rsidR="00AA1634" w:rsidRPr="00AA1634" w:rsidRDefault="00AA1634" w:rsidP="00AA1634">
            <w:pPr>
              <w:spacing w:before="100" w:beforeAutospacing="1" w:after="100" w:afterAutospacing="1"/>
              <w:rPr>
                <w:rFonts w:eastAsia="Times New Roman"/>
                <w:color w:val="000000"/>
                <w:szCs w:val="24"/>
              </w:rPr>
            </w:pPr>
            <w:r w:rsidRPr="00AA1634">
              <w:rPr>
                <w:rFonts w:eastAsia="Times New Roman"/>
                <w:b/>
                <w:bCs/>
                <w:color w:val="000000"/>
                <w:szCs w:val="24"/>
              </w:rPr>
              <w:t>R4501.16 Electrical.</w:t>
            </w:r>
            <w:r w:rsidRPr="00AA1634">
              <w:rPr>
                <w:rFonts w:eastAsia="Times New Roman"/>
                <w:color w:val="000000"/>
                <w:szCs w:val="24"/>
              </w:rPr>
              <w:t xml:space="preserve"> Electrical wiring and equipment shall comply with the </w:t>
            </w:r>
            <w:r w:rsidRPr="00AA1634">
              <w:rPr>
                <w:rFonts w:eastAsia="Times New Roman"/>
                <w:i/>
                <w:iCs/>
                <w:color w:val="000000"/>
                <w:szCs w:val="24"/>
              </w:rPr>
              <w:t>Florida Building Code</w:t>
            </w:r>
            <w:r w:rsidRPr="00AA1634">
              <w:rPr>
                <w:rFonts w:eastAsia="Times New Roman"/>
                <w:color w:val="000000"/>
                <w:szCs w:val="24"/>
              </w:rPr>
              <w:t xml:space="preserve">. </w:t>
            </w:r>
            <w:r w:rsidRPr="00AA1634">
              <w:rPr>
                <w:rFonts w:eastAsia="Times New Roman"/>
                <w:color w:val="0070C0"/>
                <w:szCs w:val="24"/>
                <w:u w:val="single"/>
              </w:rPr>
              <w:t>Outlets supplying pool equipment and underwater luminaires connected to single-phase, 120 volt through 240 volt branch circuits, rated 15 or 20 amperes, whether by receptacle or by direct connection, shall be provided with ground-fault circuit interrupter protection for personnel.</w:t>
            </w:r>
            <w:r w:rsidRPr="00AA1634">
              <w:rPr>
                <w:rFonts w:eastAsia="Times New Roman"/>
                <w:color w:val="000000"/>
                <w:szCs w:val="24"/>
              </w:rPr>
              <w:t xml:space="preserve"> </w:t>
            </w:r>
          </w:p>
          <w:p w:rsidR="00E22C18" w:rsidRPr="00E22C18" w:rsidRDefault="00E22C18" w:rsidP="00E22C18">
            <w:pPr>
              <w:spacing w:before="100" w:beforeAutospacing="1" w:after="100" w:afterAutospacing="1"/>
              <w:rPr>
                <w:rFonts w:eastAsia="Times New Roman"/>
                <w:color w:val="000000"/>
                <w:szCs w:val="24"/>
              </w:rPr>
            </w:pPr>
          </w:p>
        </w:tc>
      </w:tr>
      <w:tr w:rsidR="00E22C18" w:rsidRPr="00E22C18">
        <w:trPr>
          <w:tblCellSpacing w:w="7" w:type="dxa"/>
        </w:trPr>
        <w:tc>
          <w:tcPr>
            <w:tcW w:w="0" w:type="auto"/>
            <w:vAlign w:val="center"/>
            <w:hideMark/>
          </w:tcPr>
          <w:p w:rsidR="00E22C18" w:rsidRPr="00E22C18" w:rsidRDefault="00E22C18" w:rsidP="00E22C18">
            <w:pPr>
              <w:rPr>
                <w:rFonts w:eastAsia="Times New Roman"/>
                <w:color w:val="000000"/>
                <w:szCs w:val="24"/>
              </w:rPr>
            </w:pPr>
          </w:p>
        </w:tc>
      </w:tr>
    </w:tbl>
    <w:p w:rsidR="004C76DF" w:rsidRDefault="004C76DF" w:rsidP="004C76DF">
      <w:pPr>
        <w:jc w:val="both"/>
        <w:rPr>
          <w:rFonts w:ascii="Garamond" w:hAnsi="Garamond"/>
          <w:b/>
        </w:rPr>
      </w:pPr>
    </w:p>
    <w:p w:rsidR="004C76DF" w:rsidRDefault="004C76DF" w:rsidP="004C76DF">
      <w:pPr>
        <w:jc w:val="both"/>
        <w:rPr>
          <w:rFonts w:ascii="Garamond" w:hAnsi="Garamond"/>
          <w:b/>
        </w:rPr>
      </w:pPr>
      <w:r>
        <w:rPr>
          <w:rFonts w:ascii="Garamond" w:hAnsi="Garamond"/>
          <w:b/>
        </w:rPr>
        <w:t>Recommendations as approved by The Commission October 15, 2015</w:t>
      </w:r>
    </w:p>
    <w:p w:rsidR="004C76DF" w:rsidRDefault="004C76DF" w:rsidP="004C76DF">
      <w:pPr>
        <w:jc w:val="both"/>
        <w:rPr>
          <w:rFonts w:ascii="Garamond" w:hAnsi="Garamond" w:cs="Arial"/>
          <w:b/>
          <w:lang w:bidi="x-none"/>
        </w:rPr>
      </w:pPr>
    </w:p>
    <w:p w:rsidR="004C76DF" w:rsidRPr="00550208" w:rsidRDefault="004C76DF" w:rsidP="004C76DF">
      <w:pPr>
        <w:jc w:val="both"/>
        <w:rPr>
          <w:rFonts w:ascii="Garamond" w:hAnsi="Garamond" w:cs="Arial"/>
          <w:b/>
          <w:lang w:bidi="x-none"/>
        </w:rPr>
      </w:pPr>
      <w:r>
        <w:rPr>
          <w:rFonts w:ascii="Garamond" w:hAnsi="Garamond" w:cs="Arial"/>
          <w:b/>
          <w:lang w:bidi="x-none"/>
        </w:rPr>
        <w:t>Existing Swimming Pools</w:t>
      </w:r>
    </w:p>
    <w:p w:rsidR="004C76DF" w:rsidRDefault="004C76DF" w:rsidP="004C76DF">
      <w:pPr>
        <w:jc w:val="both"/>
        <w:rPr>
          <w:rFonts w:ascii="Garamond" w:hAnsi="Garamond" w:cs="Arial"/>
          <w:lang w:bidi="x-none"/>
        </w:rPr>
      </w:pPr>
      <w:r w:rsidRPr="006F477C">
        <w:rPr>
          <w:rFonts w:ascii="Garamond" w:hAnsi="Garamond" w:cs="Arial"/>
          <w:lang w:bidi="x-none"/>
        </w:rPr>
        <w:t xml:space="preserve">The Electrical TAC voted 6-2 in favor (75%), to recommend the Commission </w:t>
      </w:r>
      <w:r w:rsidRPr="00627500">
        <w:rPr>
          <w:rFonts w:ascii="Garamond" w:hAnsi="Garamond" w:cs="Arial"/>
          <w:lang w:bidi="x-none"/>
        </w:rPr>
        <w:t xml:space="preserve">charge staff </w:t>
      </w:r>
      <w:r>
        <w:rPr>
          <w:rFonts w:ascii="Garamond" w:hAnsi="Garamond" w:cs="Arial"/>
          <w:lang w:bidi="x-none"/>
        </w:rPr>
        <w:t xml:space="preserve">to work with the TAC chair and in consultation </w:t>
      </w:r>
      <w:r w:rsidRPr="00627500">
        <w:rPr>
          <w:rFonts w:ascii="Garamond" w:hAnsi="Garamond" w:cs="Arial"/>
          <w:lang w:bidi="x-none"/>
        </w:rPr>
        <w:t>with stakeholders</w:t>
      </w:r>
      <w:r>
        <w:rPr>
          <w:rFonts w:ascii="Garamond" w:hAnsi="Garamond" w:cs="Arial"/>
          <w:lang w:bidi="x-none"/>
        </w:rPr>
        <w:t xml:space="preserve"> to formulate</w:t>
      </w:r>
      <w:r w:rsidRPr="006F477C">
        <w:rPr>
          <w:rFonts w:ascii="Garamond" w:hAnsi="Garamond" w:cs="Arial"/>
          <w:lang w:bidi="x-none"/>
        </w:rPr>
        <w:t xml:space="preserve"> </w:t>
      </w:r>
      <w:r>
        <w:rPr>
          <w:rFonts w:ascii="Garamond" w:hAnsi="Garamond" w:cs="Arial"/>
          <w:lang w:bidi="x-none"/>
        </w:rPr>
        <w:t xml:space="preserve">a code amendment requiring existing </w:t>
      </w:r>
      <w:r w:rsidRPr="006F477C">
        <w:rPr>
          <w:rFonts w:ascii="Garamond" w:hAnsi="Garamond" w:cs="Arial"/>
          <w:lang w:bidi="x-none"/>
        </w:rPr>
        <w:t xml:space="preserve">commercial and residential swimming pools </w:t>
      </w:r>
      <w:r>
        <w:rPr>
          <w:rFonts w:ascii="Garamond" w:hAnsi="Garamond" w:cs="Arial"/>
          <w:lang w:bidi="x-none"/>
        </w:rPr>
        <w:t>to have</w:t>
      </w:r>
      <w:r w:rsidRPr="006F477C">
        <w:rPr>
          <w:rFonts w:ascii="Garamond" w:hAnsi="Garamond" w:cs="Arial"/>
          <w:lang w:bidi="x-none"/>
        </w:rPr>
        <w:t xml:space="preserve"> GFCI protection for replacement pool pump motors</w:t>
      </w:r>
      <w:r>
        <w:rPr>
          <w:rFonts w:ascii="Garamond" w:hAnsi="Garamond" w:cs="Arial"/>
          <w:lang w:bidi="x-none"/>
        </w:rPr>
        <w:t>,</w:t>
      </w:r>
      <w:r w:rsidRPr="006F477C">
        <w:rPr>
          <w:rFonts w:ascii="Garamond" w:hAnsi="Garamond" w:cs="Arial"/>
          <w:lang w:bidi="x-none"/>
        </w:rPr>
        <w:t xml:space="preserve"> if not already in place; </w:t>
      </w:r>
      <w:r>
        <w:rPr>
          <w:rFonts w:ascii="Garamond" w:hAnsi="Garamond" w:cs="Arial"/>
          <w:lang w:bidi="x-none"/>
        </w:rPr>
        <w:t xml:space="preserve">to </w:t>
      </w:r>
      <w:r w:rsidRPr="006F477C">
        <w:rPr>
          <w:rFonts w:ascii="Garamond" w:hAnsi="Garamond" w:cs="Arial"/>
          <w:lang w:bidi="x-none"/>
        </w:rPr>
        <w:t>provide GFCI protection for</w:t>
      </w:r>
      <w:r>
        <w:rPr>
          <w:rFonts w:ascii="Garamond" w:hAnsi="Garamond" w:cs="Arial"/>
          <w:lang w:bidi="x-none"/>
        </w:rPr>
        <w:t xml:space="preserve"> the</w:t>
      </w:r>
      <w:r w:rsidRPr="006F477C">
        <w:rPr>
          <w:rFonts w:ascii="Garamond" w:hAnsi="Garamond" w:cs="Arial"/>
          <w:lang w:bidi="x-none"/>
        </w:rPr>
        <w:t xml:space="preserve"> replacement of 120 volt pool lights when </w:t>
      </w:r>
      <w:r>
        <w:rPr>
          <w:rFonts w:ascii="Garamond" w:hAnsi="Garamond" w:cs="Arial"/>
          <w:lang w:bidi="x-none"/>
        </w:rPr>
        <w:t>they are replaced</w:t>
      </w:r>
      <w:r w:rsidRPr="006F477C">
        <w:rPr>
          <w:rFonts w:ascii="Garamond" w:hAnsi="Garamond" w:cs="Arial"/>
          <w:lang w:bidi="x-none"/>
        </w:rPr>
        <w:t xml:space="preserve">; </w:t>
      </w:r>
      <w:r>
        <w:rPr>
          <w:rFonts w:ascii="Garamond" w:hAnsi="Garamond" w:cs="Arial"/>
          <w:lang w:bidi="x-none"/>
        </w:rPr>
        <w:t xml:space="preserve">and, </w:t>
      </w:r>
      <w:r w:rsidRPr="006F477C">
        <w:rPr>
          <w:rFonts w:ascii="Garamond" w:hAnsi="Garamond" w:cs="Arial"/>
          <w:lang w:bidi="x-none"/>
        </w:rPr>
        <w:t xml:space="preserve">as part of the close out inspection </w:t>
      </w:r>
      <w:r>
        <w:rPr>
          <w:rFonts w:ascii="Garamond" w:hAnsi="Garamond" w:cs="Arial"/>
          <w:lang w:bidi="x-none"/>
        </w:rPr>
        <w:t>ensuring</w:t>
      </w:r>
      <w:r w:rsidRPr="006F477C">
        <w:rPr>
          <w:rFonts w:ascii="Garamond" w:hAnsi="Garamond" w:cs="Arial"/>
          <w:lang w:bidi="x-none"/>
        </w:rPr>
        <w:t xml:space="preserve"> that </w:t>
      </w:r>
      <w:r>
        <w:rPr>
          <w:rFonts w:ascii="Garamond" w:hAnsi="Garamond" w:cs="Arial"/>
          <w:lang w:bidi="x-none"/>
        </w:rPr>
        <w:t xml:space="preserve">the </w:t>
      </w:r>
      <w:r w:rsidRPr="006F477C">
        <w:rPr>
          <w:rFonts w:ascii="Garamond" w:hAnsi="Garamond" w:cs="Arial"/>
          <w:lang w:bidi="x-none"/>
        </w:rPr>
        <w:t>existing bonding system is co</w:t>
      </w:r>
      <w:r>
        <w:rPr>
          <w:rFonts w:ascii="Garamond" w:hAnsi="Garamond" w:cs="Arial"/>
          <w:lang w:bidi="x-none"/>
        </w:rPr>
        <w:t>mplete and terminated properly.</w:t>
      </w:r>
    </w:p>
    <w:p w:rsidR="004C76DF" w:rsidRDefault="004C76DF" w:rsidP="004C76DF">
      <w:pPr>
        <w:jc w:val="both"/>
        <w:rPr>
          <w:rFonts w:ascii="Garamond" w:hAnsi="Garamond" w:cs="Arial"/>
          <w:lang w:bidi="x-none"/>
        </w:rPr>
      </w:pPr>
      <w:r>
        <w:rPr>
          <w:rFonts w:ascii="Garamond" w:hAnsi="Garamond" w:cs="Arial"/>
          <w:lang w:bidi="x-none"/>
        </w:rPr>
        <w:t>Swimming Pool TAC 5-3 (63%)</w:t>
      </w:r>
    </w:p>
    <w:p w:rsidR="00E411A0" w:rsidRDefault="00E411A0" w:rsidP="004C76DF">
      <w:pPr>
        <w:jc w:val="both"/>
        <w:rPr>
          <w:rFonts w:ascii="Garamond" w:hAnsi="Garamond" w:cs="Arial"/>
          <w:lang w:bidi="x-none"/>
        </w:rPr>
      </w:pPr>
    </w:p>
    <w:p w:rsidR="00E411A0" w:rsidRDefault="00E411A0" w:rsidP="00E411A0">
      <w:pPr>
        <w:jc w:val="both"/>
        <w:rPr>
          <w:rFonts w:ascii="Garamond" w:hAnsi="Garamond"/>
          <w:b/>
        </w:rPr>
      </w:pPr>
      <w:r>
        <w:rPr>
          <w:rFonts w:ascii="Garamond" w:hAnsi="Garamond"/>
          <w:b/>
        </w:rPr>
        <w:t>Code amendments/Progress to date:</w:t>
      </w:r>
    </w:p>
    <w:p w:rsidR="004C76DF" w:rsidRPr="006F477C" w:rsidRDefault="004C76DF" w:rsidP="004C76DF">
      <w:pPr>
        <w:jc w:val="both"/>
        <w:rPr>
          <w:rFonts w:ascii="Garamond" w:hAnsi="Garamond" w:cs="Arial"/>
          <w:lang w:bidi="x-none"/>
        </w:rPr>
      </w:pPr>
    </w:p>
    <w:p w:rsidR="00DF0959" w:rsidRDefault="00DF0959" w:rsidP="00DF0959">
      <w:pPr>
        <w:jc w:val="both"/>
        <w:rPr>
          <w:rFonts w:ascii="Garamond" w:hAnsi="Garamond"/>
          <w:b/>
        </w:rPr>
      </w:pPr>
      <w:r>
        <w:rPr>
          <w:rFonts w:ascii="Garamond" w:hAnsi="Garamond"/>
          <w:b/>
        </w:rPr>
        <w:t>6</w:t>
      </w:r>
      <w:r w:rsidRPr="00DF0959">
        <w:rPr>
          <w:rFonts w:ascii="Garamond" w:hAnsi="Garamond"/>
          <w:b/>
          <w:vertAlign w:val="superscript"/>
        </w:rPr>
        <w:t>th</w:t>
      </w:r>
      <w:r>
        <w:rPr>
          <w:rFonts w:ascii="Garamond" w:hAnsi="Garamond"/>
          <w:b/>
        </w:rPr>
        <w:t xml:space="preserve"> Edition (2017) FBC, Buildings</w:t>
      </w:r>
    </w:p>
    <w:p w:rsidR="00DF0959" w:rsidRDefault="00DF0959" w:rsidP="00DF0959">
      <w:pPr>
        <w:jc w:val="both"/>
        <w:rPr>
          <w:rFonts w:ascii="Garamond" w:hAnsi="Garamond"/>
          <w:b/>
        </w:rPr>
      </w:pPr>
    </w:p>
    <w:p w:rsidR="00DF0959" w:rsidRDefault="00E22C18" w:rsidP="00DF0959">
      <w:pPr>
        <w:jc w:val="both"/>
        <w:rPr>
          <w:rFonts w:ascii="Garamond" w:hAnsi="Garamond"/>
          <w:b/>
          <w:color w:val="FF0000"/>
        </w:rPr>
      </w:pPr>
      <w:r>
        <w:rPr>
          <w:rFonts w:ascii="Garamond" w:hAnsi="Garamond"/>
          <w:b/>
          <w:color w:val="FF0000"/>
        </w:rPr>
        <w:t>(CA</w:t>
      </w:r>
      <w:r w:rsidR="00DF0959" w:rsidRPr="00DF0959">
        <w:rPr>
          <w:rFonts w:ascii="Garamond" w:hAnsi="Garamond"/>
          <w:b/>
          <w:color w:val="FF0000"/>
        </w:rPr>
        <w:t>6498-A3)</w:t>
      </w:r>
    </w:p>
    <w:p w:rsidR="00DF0959" w:rsidRDefault="00DF0959" w:rsidP="00DF0959">
      <w:pPr>
        <w:jc w:val="both"/>
        <w:rPr>
          <w:rFonts w:ascii="Garamond" w:hAnsi="Garamond"/>
          <w:b/>
        </w:rPr>
      </w:pPr>
    </w:p>
    <w:p w:rsidR="00DF0959" w:rsidRPr="00DF0959" w:rsidRDefault="00DF0959" w:rsidP="00DF0959">
      <w:pPr>
        <w:jc w:val="both"/>
        <w:rPr>
          <w:rFonts w:ascii="Garamond" w:hAnsi="Garamond"/>
          <w:b/>
        </w:rPr>
      </w:pPr>
      <w:r w:rsidRPr="00DF0959">
        <w:rPr>
          <w:rFonts w:ascii="Garamond" w:hAnsi="Garamond"/>
          <w:b/>
        </w:rPr>
        <w:t>Move the proposed modification from "110.9" to "110.3 Required Inspections, Electrical" and add the following:</w:t>
      </w:r>
    </w:p>
    <w:p w:rsidR="00DF0959" w:rsidRPr="00DF0959" w:rsidRDefault="00DF0959" w:rsidP="00DF0959">
      <w:pPr>
        <w:jc w:val="both"/>
        <w:rPr>
          <w:rFonts w:ascii="Garamond" w:hAnsi="Garamond"/>
          <w:b/>
        </w:rPr>
      </w:pPr>
    </w:p>
    <w:p w:rsidR="00DF0959" w:rsidRPr="00DF0959" w:rsidRDefault="00DF0959" w:rsidP="00DF0959">
      <w:pPr>
        <w:jc w:val="both"/>
        <w:rPr>
          <w:rFonts w:ascii="Garamond" w:hAnsi="Garamond"/>
          <w:b/>
        </w:rPr>
      </w:pPr>
      <w:r w:rsidRPr="00DF0959">
        <w:rPr>
          <w:rFonts w:ascii="Garamond" w:hAnsi="Garamond"/>
          <w:b/>
        </w:rPr>
        <w:t>4. Existing Swimming Pools. To be made after all repairs or alterations are complete, all required electrical equipment, GFCI protection, and equi</w:t>
      </w:r>
      <w:r>
        <w:rPr>
          <w:rFonts w:ascii="Garamond" w:hAnsi="Garamond"/>
          <w:b/>
        </w:rPr>
        <w:t>potential bonding are in place.</w:t>
      </w:r>
    </w:p>
    <w:p w:rsidR="00DF0959" w:rsidRDefault="00DF0959" w:rsidP="00DF0959">
      <w:pPr>
        <w:jc w:val="both"/>
        <w:rPr>
          <w:rFonts w:ascii="Garamond" w:hAnsi="Garamond"/>
          <w:b/>
        </w:rPr>
      </w:pPr>
      <w:r w:rsidRPr="00DF0959">
        <w:rPr>
          <w:rFonts w:ascii="Garamond" w:hAnsi="Garamond"/>
          <w:b/>
        </w:rPr>
        <w:t xml:space="preserve"> </w:t>
      </w:r>
    </w:p>
    <w:p w:rsidR="00E22C18" w:rsidRPr="00E22C18" w:rsidRDefault="00E22C18" w:rsidP="00DF0959">
      <w:pPr>
        <w:jc w:val="both"/>
        <w:rPr>
          <w:rFonts w:ascii="Garamond" w:hAnsi="Garamond"/>
          <w:b/>
          <w:color w:val="FF0000"/>
        </w:rPr>
      </w:pPr>
      <w:r w:rsidRPr="00E22C18">
        <w:rPr>
          <w:rFonts w:ascii="Garamond" w:hAnsi="Garamond"/>
          <w:b/>
          <w:color w:val="FF0000"/>
        </w:rPr>
        <w:t>(E6496)</w:t>
      </w:r>
    </w:p>
    <w:p w:rsidR="00E22C18" w:rsidRPr="00E22C18" w:rsidRDefault="00E22C18" w:rsidP="00E22C18">
      <w:pPr>
        <w:spacing w:before="100" w:beforeAutospacing="1" w:after="100" w:afterAutospacing="1"/>
        <w:rPr>
          <w:rFonts w:eastAsia="Times New Roman"/>
          <w:color w:val="000000"/>
          <w:szCs w:val="24"/>
        </w:rPr>
      </w:pPr>
      <w:r w:rsidRPr="00E22C18">
        <w:rPr>
          <w:rFonts w:ascii="Arial" w:eastAsia="Times New Roman" w:hAnsi="Arial" w:cs="Arial"/>
          <w:b/>
          <w:bCs/>
          <w:color w:val="000000"/>
          <w:szCs w:val="24"/>
          <w:u w:val="single"/>
        </w:rPr>
        <w:t>Section 454.1.10.4 Swimming Pool - Electrical</w:t>
      </w:r>
    </w:p>
    <w:p w:rsidR="00E22C18" w:rsidRPr="00E22C18" w:rsidRDefault="00E22C18" w:rsidP="00E22C18">
      <w:pPr>
        <w:spacing w:before="100" w:beforeAutospacing="1" w:after="100" w:afterAutospacing="1"/>
        <w:rPr>
          <w:rFonts w:eastAsia="Times New Roman"/>
          <w:color w:val="000000"/>
          <w:szCs w:val="24"/>
        </w:rPr>
      </w:pPr>
      <w:r w:rsidRPr="00E22C18">
        <w:rPr>
          <w:rFonts w:eastAsia="Times New Roman"/>
          <w:color w:val="000000"/>
          <w:szCs w:val="24"/>
        </w:rPr>
        <w:lastRenderedPageBreak/>
        <w:t> </w:t>
      </w:r>
      <w:r w:rsidRPr="00E22C18">
        <w:rPr>
          <w:rFonts w:ascii="Arial" w:eastAsia="Times New Roman" w:hAnsi="Arial" w:cs="Arial"/>
          <w:b/>
          <w:bCs/>
          <w:color w:val="000000"/>
          <w:szCs w:val="24"/>
          <w:u w:val="single"/>
        </w:rPr>
        <w:t>454.1.10.4.1 GFCI Protection.</w:t>
      </w:r>
      <w:r w:rsidRPr="00E22C18">
        <w:rPr>
          <w:rFonts w:ascii="Arial" w:eastAsia="Times New Roman" w:hAnsi="Arial" w:cs="Arial"/>
          <w:color w:val="000000"/>
          <w:szCs w:val="24"/>
          <w:u w:val="single"/>
        </w:rPr>
        <w:t> Ground-fault Circuit-interrupter shall be provided as follows:</w:t>
      </w:r>
    </w:p>
    <w:p w:rsidR="00E22C18" w:rsidRPr="00E22C18" w:rsidRDefault="00E22C18" w:rsidP="00E22C18">
      <w:pPr>
        <w:spacing w:before="100" w:beforeAutospacing="1" w:after="100" w:afterAutospacing="1"/>
        <w:rPr>
          <w:rFonts w:eastAsia="Times New Roman"/>
          <w:color w:val="000000"/>
          <w:szCs w:val="24"/>
        </w:rPr>
      </w:pPr>
      <w:r w:rsidRPr="00E22C18">
        <w:rPr>
          <w:rFonts w:eastAsia="Times New Roman"/>
          <w:color w:val="000000"/>
          <w:szCs w:val="24"/>
        </w:rPr>
        <w:t> </w:t>
      </w:r>
    </w:p>
    <w:p w:rsidR="00E22C18" w:rsidRPr="00E22C18" w:rsidRDefault="00E22C18" w:rsidP="00E22C18">
      <w:pPr>
        <w:numPr>
          <w:ilvl w:val="0"/>
          <w:numId w:val="1"/>
        </w:numPr>
        <w:spacing w:before="100" w:beforeAutospacing="1" w:after="100" w:afterAutospacing="1"/>
        <w:rPr>
          <w:rFonts w:eastAsia="Times New Roman"/>
          <w:color w:val="000000"/>
          <w:szCs w:val="24"/>
        </w:rPr>
      </w:pPr>
      <w:r w:rsidRPr="00E22C18">
        <w:rPr>
          <w:rFonts w:ascii="Arial" w:eastAsia="Times New Roman" w:hAnsi="Arial" w:cs="Arial"/>
          <w:color w:val="000000"/>
          <w:szCs w:val="24"/>
          <w:u w:val="single"/>
        </w:rPr>
        <w:t>Where alteration work includes replacement of pool pump motors, a ground-fault circuit-interrupter shall be provided, if one is not already in place.</w:t>
      </w:r>
      <w:r w:rsidRPr="00E22C18">
        <w:rPr>
          <w:rFonts w:eastAsia="Times New Roman"/>
          <w:color w:val="000000"/>
          <w:szCs w:val="24"/>
        </w:rPr>
        <w:t xml:space="preserve"> </w:t>
      </w:r>
    </w:p>
    <w:p w:rsidR="00E22C18" w:rsidRPr="00E22C18" w:rsidRDefault="00E22C18" w:rsidP="00E22C18">
      <w:pPr>
        <w:numPr>
          <w:ilvl w:val="0"/>
          <w:numId w:val="1"/>
        </w:numPr>
        <w:spacing w:before="100" w:beforeAutospacing="1" w:after="100" w:afterAutospacing="1"/>
        <w:rPr>
          <w:rFonts w:eastAsia="Times New Roman"/>
          <w:color w:val="000000"/>
          <w:szCs w:val="24"/>
        </w:rPr>
      </w:pPr>
      <w:r w:rsidRPr="00E22C18">
        <w:rPr>
          <w:rFonts w:ascii="Arial" w:eastAsia="Times New Roman" w:hAnsi="Arial" w:cs="Arial"/>
          <w:color w:val="000000"/>
          <w:szCs w:val="24"/>
          <w:u w:val="single"/>
        </w:rPr>
        <w:t>Where alteration work includes replacement of 120-volt pool lights, a ground-fault circuit-interrupter shall be provided, if one is not already in place.</w:t>
      </w:r>
    </w:p>
    <w:p w:rsidR="00AA1634" w:rsidRDefault="00E22C18" w:rsidP="00E22C18">
      <w:pPr>
        <w:spacing w:before="100" w:beforeAutospacing="1" w:after="100" w:afterAutospacing="1"/>
        <w:rPr>
          <w:rFonts w:eastAsia="Times New Roman"/>
          <w:b/>
          <w:color w:val="FF0000"/>
          <w:szCs w:val="24"/>
        </w:rPr>
      </w:pPr>
      <w:r w:rsidRPr="00E22C18">
        <w:rPr>
          <w:rFonts w:eastAsia="Times New Roman"/>
          <w:b/>
          <w:color w:val="FF0000"/>
          <w:szCs w:val="24"/>
        </w:rPr>
        <w:t> </w:t>
      </w:r>
    </w:p>
    <w:p w:rsidR="00AA1634" w:rsidRPr="00AA1634" w:rsidRDefault="00AA1634" w:rsidP="00E22C18">
      <w:pPr>
        <w:spacing w:before="100" w:beforeAutospacing="1" w:after="100" w:afterAutospacing="1"/>
        <w:rPr>
          <w:rFonts w:eastAsia="Times New Roman"/>
          <w:b/>
          <w:szCs w:val="24"/>
        </w:rPr>
      </w:pPr>
      <w:r>
        <w:rPr>
          <w:rFonts w:eastAsia="Times New Roman"/>
          <w:b/>
          <w:szCs w:val="24"/>
        </w:rPr>
        <w:t>6</w:t>
      </w:r>
      <w:r w:rsidRPr="00AA1634">
        <w:rPr>
          <w:rFonts w:eastAsia="Times New Roman"/>
          <w:b/>
          <w:szCs w:val="24"/>
          <w:vertAlign w:val="superscript"/>
        </w:rPr>
        <w:t>th</w:t>
      </w:r>
      <w:r>
        <w:rPr>
          <w:rFonts w:eastAsia="Times New Roman"/>
          <w:b/>
          <w:szCs w:val="24"/>
        </w:rPr>
        <w:t xml:space="preserve"> Edition (2017) FBC, Existing Building</w:t>
      </w:r>
    </w:p>
    <w:p w:rsidR="00E22C18" w:rsidRPr="00E22C18" w:rsidRDefault="00AA1634" w:rsidP="00E22C18">
      <w:pPr>
        <w:spacing w:before="100" w:beforeAutospacing="1" w:after="100" w:afterAutospacing="1"/>
        <w:rPr>
          <w:rFonts w:eastAsia="Times New Roman"/>
          <w:b/>
          <w:color w:val="FF0000"/>
          <w:szCs w:val="24"/>
        </w:rPr>
      </w:pPr>
      <w:r w:rsidRPr="00AA1634">
        <w:rPr>
          <w:rFonts w:eastAsia="Times New Roman"/>
          <w:b/>
          <w:color w:val="FF0000"/>
          <w:szCs w:val="24"/>
        </w:rPr>
        <w:t>(6493)</w:t>
      </w:r>
    </w:p>
    <w:p w:rsidR="00AA1634" w:rsidRDefault="00AA1634" w:rsidP="00AA1634">
      <w:r>
        <w:t xml:space="preserve">Section 413 Add to read as follows: </w:t>
      </w:r>
    </w:p>
    <w:p w:rsidR="00AA1634" w:rsidRDefault="00AA1634" w:rsidP="00AA1634"/>
    <w:p w:rsidR="00AA1634" w:rsidRDefault="00AA1634" w:rsidP="00AA1634">
      <w:r>
        <w:t xml:space="preserve"> Section 413 Swimming Pool - Electrical</w:t>
      </w:r>
    </w:p>
    <w:p w:rsidR="00AA1634" w:rsidRDefault="00AA1634" w:rsidP="00AA1634"/>
    <w:p w:rsidR="00AA1634" w:rsidRPr="00AA1634" w:rsidRDefault="00AA1634" w:rsidP="00AA1634">
      <w:pPr>
        <w:rPr>
          <w:u w:val="single"/>
        </w:rPr>
      </w:pPr>
      <w:proofErr w:type="gramStart"/>
      <w:r w:rsidRPr="00AA1634">
        <w:rPr>
          <w:u w:val="single"/>
        </w:rPr>
        <w:t>413.1GFCI Protection.</w:t>
      </w:r>
      <w:proofErr w:type="gramEnd"/>
      <w:r w:rsidRPr="00AA1634">
        <w:rPr>
          <w:u w:val="single"/>
        </w:rPr>
        <w:t xml:space="preserve"> Ground-fault Circuit-interrupter shall be provided as follows:</w:t>
      </w:r>
    </w:p>
    <w:p w:rsidR="00AA1634" w:rsidRPr="00AA1634" w:rsidRDefault="00AA1634" w:rsidP="00AA1634">
      <w:pPr>
        <w:rPr>
          <w:u w:val="single"/>
        </w:rPr>
      </w:pPr>
    </w:p>
    <w:p w:rsidR="00AA1634" w:rsidRPr="00AA1634" w:rsidRDefault="00AA1634" w:rsidP="00AA1634">
      <w:pPr>
        <w:rPr>
          <w:u w:val="single"/>
        </w:rPr>
      </w:pPr>
      <w:r>
        <w:t xml:space="preserve"> </w:t>
      </w:r>
      <w:r w:rsidRPr="00AA1634">
        <w:rPr>
          <w:u w:val="single"/>
        </w:rPr>
        <w:t>1.    Where alteration work includes replacement of pool pump motors, a ground-fault circuit-interrupter shall be provided, if one is not already in place.</w:t>
      </w:r>
    </w:p>
    <w:p w:rsidR="00AA1634" w:rsidRPr="00AA1634" w:rsidRDefault="00AA1634" w:rsidP="00AA1634">
      <w:pPr>
        <w:rPr>
          <w:u w:val="single"/>
        </w:rPr>
      </w:pPr>
    </w:p>
    <w:p w:rsidR="00AA1634" w:rsidRPr="00AA1634" w:rsidRDefault="00AA1634" w:rsidP="00AA1634">
      <w:pPr>
        <w:rPr>
          <w:u w:val="single"/>
        </w:rPr>
      </w:pPr>
      <w:r w:rsidRPr="00AA1634">
        <w:rPr>
          <w:u w:val="single"/>
        </w:rPr>
        <w:t>2.    Where alteration work includes replacement of 120-volt pool lights, a ground-fault circuit-interrupter shall be provided, if one is not already in place.</w:t>
      </w:r>
    </w:p>
    <w:p w:rsidR="00AA1634" w:rsidRPr="00AA1634" w:rsidRDefault="00AA1634" w:rsidP="00AA1634">
      <w:pPr>
        <w:rPr>
          <w:u w:val="single"/>
        </w:rPr>
      </w:pPr>
    </w:p>
    <w:p w:rsidR="00AA1634" w:rsidRPr="00AA1634" w:rsidRDefault="00AA1634" w:rsidP="00AA1634">
      <w:pPr>
        <w:spacing w:before="100" w:beforeAutospacing="1" w:after="100" w:afterAutospacing="1"/>
        <w:rPr>
          <w:rFonts w:eastAsia="Times New Roman"/>
          <w:b/>
          <w:color w:val="FF0000"/>
          <w:szCs w:val="24"/>
        </w:rPr>
      </w:pPr>
      <w:r w:rsidRPr="00AA1634">
        <w:rPr>
          <w:rFonts w:eastAsia="Times New Roman"/>
          <w:b/>
          <w:color w:val="FF0000"/>
          <w:szCs w:val="24"/>
        </w:rPr>
        <w:t>(E6494)</w:t>
      </w:r>
    </w:p>
    <w:p w:rsidR="00AA1634" w:rsidRPr="00AA1634" w:rsidRDefault="00AA1634" w:rsidP="00AA1634">
      <w:pPr>
        <w:spacing w:before="100" w:beforeAutospacing="1" w:after="100" w:afterAutospacing="1"/>
        <w:rPr>
          <w:rFonts w:eastAsia="Times New Roman"/>
          <w:color w:val="000000"/>
          <w:szCs w:val="24"/>
        </w:rPr>
      </w:pPr>
      <w:r w:rsidRPr="00AA1634">
        <w:rPr>
          <w:rFonts w:eastAsia="Times New Roman"/>
          <w:color w:val="000000"/>
          <w:szCs w:val="24"/>
        </w:rPr>
        <w:t>Section 709 Add to read as follows:</w:t>
      </w:r>
    </w:p>
    <w:p w:rsidR="00AA1634" w:rsidRPr="00AA1634" w:rsidRDefault="00AA1634" w:rsidP="00AA1634">
      <w:pPr>
        <w:spacing w:before="100" w:beforeAutospacing="1" w:after="100" w:afterAutospacing="1"/>
        <w:rPr>
          <w:rFonts w:eastAsia="Times New Roman"/>
          <w:color w:val="000000"/>
          <w:szCs w:val="24"/>
        </w:rPr>
      </w:pPr>
      <w:r w:rsidRPr="00AA1634">
        <w:rPr>
          <w:rFonts w:eastAsia="Times New Roman"/>
          <w:color w:val="000000"/>
          <w:szCs w:val="24"/>
        </w:rPr>
        <w:t> </w:t>
      </w:r>
      <w:r w:rsidRPr="00AA1634">
        <w:rPr>
          <w:rFonts w:ascii="Arial" w:eastAsia="Times New Roman" w:hAnsi="Arial" w:cs="Arial"/>
          <w:b/>
          <w:bCs/>
          <w:color w:val="000000"/>
          <w:szCs w:val="24"/>
          <w:u w:val="single"/>
        </w:rPr>
        <w:t>Section 709 Swimming Pool - Electrical</w:t>
      </w:r>
    </w:p>
    <w:p w:rsidR="00AA1634" w:rsidRPr="00AA1634" w:rsidRDefault="00AA1634" w:rsidP="00AA1634">
      <w:pPr>
        <w:spacing w:before="100" w:beforeAutospacing="1" w:after="100" w:afterAutospacing="1"/>
        <w:rPr>
          <w:rFonts w:eastAsia="Times New Roman"/>
          <w:color w:val="000000"/>
          <w:szCs w:val="24"/>
        </w:rPr>
      </w:pPr>
      <w:r w:rsidRPr="00AA1634">
        <w:rPr>
          <w:rFonts w:eastAsia="Times New Roman"/>
          <w:color w:val="000000"/>
          <w:szCs w:val="24"/>
        </w:rPr>
        <w:t> </w:t>
      </w:r>
      <w:proofErr w:type="gramStart"/>
      <w:r w:rsidRPr="00AA1634">
        <w:rPr>
          <w:rFonts w:ascii="Arial" w:eastAsia="Times New Roman" w:hAnsi="Arial" w:cs="Arial"/>
          <w:b/>
          <w:bCs/>
          <w:color w:val="000000"/>
          <w:szCs w:val="24"/>
        </w:rPr>
        <w:t>709.1</w:t>
      </w:r>
      <w:r w:rsidRPr="00AA1634">
        <w:rPr>
          <w:rFonts w:ascii="Arial" w:eastAsia="Times New Roman" w:hAnsi="Arial" w:cs="Arial"/>
          <w:b/>
          <w:bCs/>
          <w:color w:val="000000"/>
          <w:szCs w:val="24"/>
          <w:u w:val="single"/>
        </w:rPr>
        <w:t>GFCI Protection.</w:t>
      </w:r>
      <w:proofErr w:type="gramEnd"/>
      <w:r w:rsidRPr="00AA1634">
        <w:rPr>
          <w:rFonts w:ascii="Arial" w:eastAsia="Times New Roman" w:hAnsi="Arial" w:cs="Arial"/>
          <w:color w:val="000000"/>
          <w:szCs w:val="24"/>
          <w:u w:val="single"/>
        </w:rPr>
        <w:t> Ground-fault Circuit-interrupter shall be provided as follows:</w:t>
      </w:r>
    </w:p>
    <w:p w:rsidR="00AA1634" w:rsidRPr="00AA1634" w:rsidRDefault="00AA1634" w:rsidP="00AA1634">
      <w:pPr>
        <w:spacing w:before="100" w:beforeAutospacing="1" w:after="100" w:afterAutospacing="1"/>
        <w:rPr>
          <w:rFonts w:eastAsia="Times New Roman"/>
          <w:color w:val="000000"/>
          <w:szCs w:val="24"/>
        </w:rPr>
      </w:pPr>
      <w:r w:rsidRPr="00AA1634">
        <w:rPr>
          <w:rFonts w:eastAsia="Times New Roman"/>
          <w:color w:val="000000"/>
          <w:szCs w:val="24"/>
        </w:rPr>
        <w:t> </w:t>
      </w:r>
    </w:p>
    <w:p w:rsidR="00AA1634" w:rsidRPr="00AA1634" w:rsidRDefault="00AA1634" w:rsidP="00AA1634">
      <w:pPr>
        <w:numPr>
          <w:ilvl w:val="0"/>
          <w:numId w:val="2"/>
        </w:numPr>
        <w:spacing w:before="100" w:beforeAutospacing="1" w:after="100" w:afterAutospacing="1"/>
        <w:rPr>
          <w:rFonts w:eastAsia="Times New Roman"/>
          <w:color w:val="000000"/>
          <w:szCs w:val="24"/>
        </w:rPr>
      </w:pPr>
      <w:r w:rsidRPr="00AA1634">
        <w:rPr>
          <w:rFonts w:ascii="Arial" w:eastAsia="Times New Roman" w:hAnsi="Arial" w:cs="Arial"/>
          <w:color w:val="000000"/>
          <w:szCs w:val="24"/>
          <w:u w:val="single"/>
        </w:rPr>
        <w:t>Where alteration work includes replacement of pool pump motors, a ground-fault circuit-interrupter shall be provided, if one is not already in place.</w:t>
      </w:r>
      <w:r w:rsidRPr="00AA1634">
        <w:rPr>
          <w:rFonts w:eastAsia="Times New Roman"/>
          <w:color w:val="000000"/>
          <w:szCs w:val="24"/>
        </w:rPr>
        <w:t xml:space="preserve"> </w:t>
      </w:r>
    </w:p>
    <w:p w:rsidR="00AA1634" w:rsidRPr="00AA1634" w:rsidRDefault="00AA1634" w:rsidP="00AA1634">
      <w:pPr>
        <w:numPr>
          <w:ilvl w:val="0"/>
          <w:numId w:val="2"/>
        </w:numPr>
        <w:spacing w:before="100" w:beforeAutospacing="1" w:after="100" w:afterAutospacing="1"/>
        <w:rPr>
          <w:rFonts w:eastAsia="Times New Roman"/>
          <w:color w:val="000000"/>
          <w:szCs w:val="24"/>
        </w:rPr>
      </w:pPr>
      <w:r w:rsidRPr="00AA1634">
        <w:rPr>
          <w:rFonts w:ascii="Arial" w:eastAsia="Times New Roman" w:hAnsi="Arial" w:cs="Arial"/>
          <w:color w:val="000000"/>
          <w:szCs w:val="24"/>
          <w:u w:val="single"/>
        </w:rPr>
        <w:t>Where alteration work includes replacement of 120-volt pool lights, a ground-fault circuit-interrupter shall be provided, if one is not already in place.</w:t>
      </w:r>
    </w:p>
    <w:p w:rsidR="00AA1634" w:rsidRPr="00AA1634" w:rsidRDefault="00AA1634" w:rsidP="00AA1634">
      <w:pPr>
        <w:spacing w:before="100" w:beforeAutospacing="1" w:after="100" w:afterAutospacing="1"/>
        <w:rPr>
          <w:rFonts w:eastAsia="Times New Roman"/>
          <w:color w:val="000000"/>
          <w:szCs w:val="24"/>
        </w:rPr>
      </w:pPr>
      <w:r w:rsidRPr="00AA1634">
        <w:rPr>
          <w:rFonts w:eastAsia="Times New Roman"/>
          <w:color w:val="000000"/>
          <w:szCs w:val="24"/>
        </w:rPr>
        <w:t> </w:t>
      </w:r>
    </w:p>
    <w:p w:rsidR="00AA1634" w:rsidRDefault="00AA1634" w:rsidP="00AA1634">
      <w:pPr>
        <w:jc w:val="both"/>
        <w:rPr>
          <w:rFonts w:ascii="Garamond" w:hAnsi="Garamond"/>
          <w:b/>
        </w:rPr>
      </w:pPr>
      <w:r w:rsidRPr="004C76DF">
        <w:rPr>
          <w:rFonts w:ascii="Garamond" w:hAnsi="Garamond"/>
          <w:b/>
        </w:rPr>
        <w:t>Recommendations as approved by The Commission October 15, 2015</w:t>
      </w:r>
    </w:p>
    <w:p w:rsidR="00AA1634" w:rsidRDefault="00AA1634" w:rsidP="00AA1634">
      <w:pPr>
        <w:jc w:val="both"/>
        <w:rPr>
          <w:rFonts w:ascii="Garamond" w:hAnsi="Garamond"/>
          <w:b/>
        </w:rPr>
      </w:pPr>
    </w:p>
    <w:p w:rsidR="00AA1634" w:rsidRPr="00627500" w:rsidRDefault="00AA1634" w:rsidP="00AA1634">
      <w:pPr>
        <w:jc w:val="both"/>
        <w:rPr>
          <w:rFonts w:ascii="Garamond" w:hAnsi="Garamond"/>
          <w:b/>
        </w:rPr>
      </w:pPr>
      <w:r w:rsidRPr="00627500">
        <w:rPr>
          <w:rFonts w:ascii="Garamond" w:hAnsi="Garamond"/>
          <w:b/>
        </w:rPr>
        <w:t>Education</w:t>
      </w:r>
    </w:p>
    <w:p w:rsidR="00AA1634" w:rsidRDefault="00AA1634" w:rsidP="00AA1634">
      <w:pPr>
        <w:jc w:val="both"/>
        <w:rPr>
          <w:rFonts w:ascii="Garamond" w:hAnsi="Garamond" w:cs="Arial"/>
          <w:lang w:bidi="x-none"/>
        </w:rPr>
      </w:pPr>
      <w:r w:rsidRPr="00627500">
        <w:rPr>
          <w:rFonts w:ascii="Garamond" w:hAnsi="Garamond" w:cs="Arial"/>
          <w:lang w:bidi="x-none"/>
        </w:rPr>
        <w:t>The Electrical TAC and the Swimming Pool TAC voted unanimously to recommend that the Commission support a comprehensive educational effort to ensure there is a consistent message to enhance pool electrical safety issues for existing and new pools by working with existing resources including educational providers and associations. The effort should include defining the problems, identifying solutions and communicating a consistent message to stakeholders (contractors, consumers, home inspectors, pool maintenance providers, etc.) through training courses, flyers, brochures, websites, etc. Key issues</w:t>
      </w:r>
      <w:r>
        <w:rPr>
          <w:rFonts w:ascii="Garamond" w:hAnsi="Garamond" w:cs="Arial"/>
          <w:lang w:bidi="x-none"/>
        </w:rPr>
        <w:t xml:space="preserve"> for education messaging</w:t>
      </w:r>
      <w:r w:rsidRPr="00627500">
        <w:rPr>
          <w:rFonts w:ascii="Garamond" w:hAnsi="Garamond" w:cs="Arial"/>
          <w:lang w:bidi="x-none"/>
        </w:rPr>
        <w:t xml:space="preserve"> include l</w:t>
      </w:r>
      <w:r>
        <w:rPr>
          <w:rFonts w:ascii="Garamond" w:hAnsi="Garamond" w:cs="Arial"/>
          <w:lang w:bidi="x-none"/>
        </w:rPr>
        <w:t>ighting, bonding, grounding, GFCI</w:t>
      </w:r>
      <w:r w:rsidRPr="00627500">
        <w:rPr>
          <w:rFonts w:ascii="Garamond" w:hAnsi="Garamond" w:cs="Arial"/>
          <w:lang w:bidi="x-none"/>
        </w:rPr>
        <w:t>, maintenance of existing pools, and monitoring device</w:t>
      </w:r>
      <w:r>
        <w:rPr>
          <w:rFonts w:ascii="Garamond" w:hAnsi="Garamond" w:cs="Arial"/>
          <w:lang w:bidi="x-none"/>
        </w:rPr>
        <w:t>s</w:t>
      </w:r>
      <w:r w:rsidRPr="00627500">
        <w:rPr>
          <w:rFonts w:ascii="Garamond" w:hAnsi="Garamond" w:cs="Arial"/>
          <w:lang w:bidi="x-none"/>
        </w:rPr>
        <w:t xml:space="preserve"> to detect stray currents in </w:t>
      </w:r>
      <w:r>
        <w:rPr>
          <w:rFonts w:ascii="Garamond" w:hAnsi="Garamond" w:cs="Arial"/>
          <w:lang w:bidi="x-none"/>
        </w:rPr>
        <w:t xml:space="preserve">the pool </w:t>
      </w:r>
      <w:r w:rsidRPr="00627500">
        <w:rPr>
          <w:rFonts w:ascii="Garamond" w:hAnsi="Garamond" w:cs="Arial"/>
          <w:lang w:bidi="x-none"/>
        </w:rPr>
        <w:t>water, etc.</w:t>
      </w:r>
    </w:p>
    <w:p w:rsidR="00C85391" w:rsidRDefault="00C85391" w:rsidP="00AA1634">
      <w:pPr>
        <w:jc w:val="both"/>
        <w:rPr>
          <w:rFonts w:ascii="Garamond" w:hAnsi="Garamond" w:cs="Arial"/>
          <w:lang w:bidi="x-none"/>
        </w:rPr>
      </w:pPr>
    </w:p>
    <w:p w:rsidR="00C85391" w:rsidRPr="00C85391" w:rsidRDefault="00C85391" w:rsidP="00AA1634">
      <w:pPr>
        <w:jc w:val="both"/>
        <w:rPr>
          <w:rFonts w:ascii="Garamond" w:hAnsi="Garamond" w:cs="Arial"/>
          <w:b/>
          <w:lang w:bidi="x-none"/>
        </w:rPr>
      </w:pPr>
      <w:r w:rsidRPr="00C85391">
        <w:rPr>
          <w:rFonts w:ascii="Garamond" w:hAnsi="Garamond" w:cs="Arial"/>
          <w:b/>
          <w:lang w:bidi="x-none"/>
        </w:rPr>
        <w:t>Progress to date:</w:t>
      </w:r>
    </w:p>
    <w:p w:rsidR="00A561EE" w:rsidRDefault="00A561EE">
      <w:pPr>
        <w:rPr>
          <w:u w:val="single"/>
        </w:rPr>
      </w:pPr>
    </w:p>
    <w:p w:rsidR="00C85391" w:rsidRPr="00C85391" w:rsidRDefault="00C85391" w:rsidP="00C85391">
      <w:pPr>
        <w:widowControl w:val="0"/>
        <w:ind w:left="112" w:right="64"/>
        <w:jc w:val="center"/>
        <w:rPr>
          <w:rFonts w:ascii="Calibri" w:eastAsia="Times New Roman" w:hAnsi="Calibri" w:cs="Calibri"/>
          <w:b/>
          <w:bCs/>
          <w:szCs w:val="24"/>
        </w:rPr>
      </w:pPr>
      <w:r w:rsidRPr="00C85391">
        <w:rPr>
          <w:rFonts w:ascii="Calibri" w:eastAsia="Times New Roman" w:hAnsi="Calibri" w:cs="Calibri"/>
          <w:b/>
          <w:bCs/>
          <w:szCs w:val="24"/>
        </w:rPr>
        <w:t xml:space="preserve">Swimming Pool Electrical Safety </w:t>
      </w:r>
    </w:p>
    <w:p w:rsidR="00C85391" w:rsidRPr="00C85391" w:rsidRDefault="00C85391" w:rsidP="00C85391">
      <w:pPr>
        <w:widowControl w:val="0"/>
        <w:ind w:left="112" w:right="64"/>
        <w:jc w:val="center"/>
        <w:rPr>
          <w:rFonts w:ascii="Calibri" w:eastAsia="Times New Roman" w:hAnsi="Calibri" w:cs="Calibri"/>
          <w:b/>
          <w:bCs/>
          <w:szCs w:val="24"/>
        </w:rPr>
      </w:pPr>
      <w:r w:rsidRPr="00C85391">
        <w:rPr>
          <w:rFonts w:ascii="Calibri" w:eastAsia="Times New Roman" w:hAnsi="Calibri" w:cs="Calibri"/>
          <w:b/>
          <w:bCs/>
          <w:szCs w:val="24"/>
        </w:rPr>
        <w:t xml:space="preserve"> Factsheet and Educational Training Module Content Outline</w:t>
      </w:r>
    </w:p>
    <w:p w:rsidR="00C85391" w:rsidRPr="00C85391" w:rsidRDefault="00C85391" w:rsidP="00C85391">
      <w:pPr>
        <w:widowControl w:val="0"/>
        <w:ind w:left="112" w:right="64"/>
        <w:rPr>
          <w:rFonts w:ascii="Calibri" w:eastAsia="Times New Roman" w:hAnsi="Calibri" w:cs="Calibri"/>
          <w:sz w:val="20"/>
        </w:rPr>
      </w:pPr>
    </w:p>
    <w:p w:rsidR="00C85391" w:rsidRPr="00C85391" w:rsidRDefault="00C85391" w:rsidP="00C85391">
      <w:pPr>
        <w:widowControl w:val="0"/>
        <w:ind w:left="112" w:right="64"/>
        <w:jc w:val="center"/>
        <w:rPr>
          <w:rFonts w:ascii="Calibri" w:eastAsia="Times New Roman" w:hAnsi="Calibri" w:cs="Calibri"/>
          <w:b/>
          <w:sz w:val="20"/>
        </w:rPr>
      </w:pPr>
      <w:r w:rsidRPr="00C85391">
        <w:rPr>
          <w:rFonts w:ascii="Calibri" w:eastAsia="Times New Roman" w:hAnsi="Calibri" w:cs="Calibri"/>
          <w:b/>
          <w:sz w:val="20"/>
        </w:rPr>
        <w:t>As approved by the TACs – April 29, 2016</w:t>
      </w:r>
    </w:p>
    <w:p w:rsidR="00C85391" w:rsidRPr="00C85391" w:rsidRDefault="00C85391" w:rsidP="00C85391">
      <w:pPr>
        <w:widowControl w:val="0"/>
        <w:ind w:left="112" w:right="64"/>
        <w:rPr>
          <w:rFonts w:ascii="Calibri" w:eastAsia="Times New Roman" w:hAnsi="Calibri" w:cs="Calibri"/>
          <w:szCs w:val="24"/>
        </w:rPr>
      </w:pPr>
    </w:p>
    <w:p w:rsidR="00C85391" w:rsidRPr="00C85391" w:rsidRDefault="00C85391" w:rsidP="00C85391">
      <w:pPr>
        <w:numPr>
          <w:ilvl w:val="0"/>
          <w:numId w:val="3"/>
        </w:numPr>
        <w:tabs>
          <w:tab w:val="left" w:pos="450"/>
        </w:tabs>
        <w:spacing w:line="276" w:lineRule="auto"/>
        <w:rPr>
          <w:rFonts w:ascii="Calibri" w:eastAsia="Times New Roman" w:hAnsi="Calibri" w:cs="Calibri"/>
          <w:b/>
          <w:szCs w:val="24"/>
        </w:rPr>
      </w:pPr>
      <w:r w:rsidRPr="00C85391">
        <w:rPr>
          <w:rFonts w:ascii="Calibri" w:eastAsia="Times New Roman" w:hAnsi="Calibri" w:cs="Calibri"/>
          <w:b/>
          <w:szCs w:val="24"/>
        </w:rPr>
        <w:t>Informational/Educational Fact Sheet (4-6 pages)</w:t>
      </w:r>
    </w:p>
    <w:p w:rsidR="00C85391" w:rsidRPr="00C85391" w:rsidRDefault="00C85391" w:rsidP="00C85391">
      <w:pPr>
        <w:rPr>
          <w:rFonts w:ascii="Calibri" w:eastAsia="Times New Roman" w:hAnsi="Calibri" w:cs="Calibri"/>
          <w:szCs w:val="24"/>
        </w:rPr>
      </w:pPr>
    </w:p>
    <w:p w:rsidR="00C85391" w:rsidRPr="00C85391" w:rsidRDefault="00C85391" w:rsidP="00C85391">
      <w:pPr>
        <w:tabs>
          <w:tab w:val="left" w:pos="450"/>
        </w:tabs>
        <w:ind w:left="450"/>
        <w:rPr>
          <w:rFonts w:ascii="Calibri" w:eastAsia="Times New Roman" w:hAnsi="Calibri" w:cs="Calibri"/>
          <w:szCs w:val="24"/>
        </w:rPr>
      </w:pPr>
      <w:proofErr w:type="gramStart"/>
      <w:r w:rsidRPr="00C85391">
        <w:rPr>
          <w:rFonts w:ascii="Calibri" w:eastAsia="Times New Roman" w:hAnsi="Calibri" w:cs="Calibri"/>
          <w:b/>
          <w:i/>
          <w:szCs w:val="24"/>
        </w:rPr>
        <w:t>Target Audience</w:t>
      </w:r>
      <w:r w:rsidRPr="00C85391">
        <w:rPr>
          <w:rFonts w:ascii="Calibri" w:eastAsia="Times New Roman" w:hAnsi="Calibri" w:cs="Calibri"/>
          <w:szCs w:val="24"/>
        </w:rPr>
        <w:t>:  Professionals installing, maintaining, repairing or replacing luminaires or related equipment in and around public and private swimming pools.</w:t>
      </w:r>
      <w:proofErr w:type="gramEnd"/>
      <w:r w:rsidRPr="00C85391">
        <w:rPr>
          <w:rFonts w:ascii="Calibri" w:eastAsia="Times New Roman" w:hAnsi="Calibri" w:cs="Calibri"/>
          <w:szCs w:val="24"/>
        </w:rPr>
        <w:t xml:space="preserve">  </w:t>
      </w:r>
    </w:p>
    <w:p w:rsidR="00C85391" w:rsidRPr="00C85391" w:rsidRDefault="00C85391" w:rsidP="00C85391">
      <w:pPr>
        <w:tabs>
          <w:tab w:val="left" w:pos="450"/>
        </w:tabs>
        <w:ind w:left="450"/>
        <w:rPr>
          <w:rFonts w:ascii="Calibri" w:eastAsia="Times New Roman" w:hAnsi="Calibri" w:cs="Calibri"/>
          <w:szCs w:val="24"/>
        </w:rPr>
      </w:pPr>
    </w:p>
    <w:p w:rsidR="00C85391" w:rsidRPr="00C85391" w:rsidRDefault="00C85391" w:rsidP="00C85391">
      <w:pPr>
        <w:tabs>
          <w:tab w:val="left" w:pos="450"/>
        </w:tabs>
        <w:ind w:left="450"/>
        <w:rPr>
          <w:rFonts w:ascii="Calibri" w:eastAsia="Times New Roman" w:hAnsi="Calibri" w:cs="Calibri"/>
          <w:szCs w:val="24"/>
        </w:rPr>
      </w:pPr>
      <w:r w:rsidRPr="00C85391">
        <w:rPr>
          <w:rFonts w:ascii="Calibri" w:eastAsia="Times New Roman" w:hAnsi="Calibri" w:cs="Calibri"/>
          <w:b/>
          <w:i/>
          <w:szCs w:val="24"/>
        </w:rPr>
        <w:t>Content Outline</w:t>
      </w:r>
      <w:r w:rsidRPr="00C85391">
        <w:rPr>
          <w:rFonts w:ascii="Calibri" w:eastAsia="Times New Roman" w:hAnsi="Calibri" w:cs="Calibri"/>
          <w:szCs w:val="24"/>
        </w:rPr>
        <w:t>:</w:t>
      </w:r>
    </w:p>
    <w:p w:rsidR="00C85391" w:rsidRPr="00C85391" w:rsidRDefault="00C85391" w:rsidP="00C85391">
      <w:pPr>
        <w:tabs>
          <w:tab w:val="left" w:pos="450"/>
        </w:tabs>
        <w:ind w:left="450"/>
        <w:rPr>
          <w:rFonts w:ascii="Calibri" w:eastAsia="Times New Roman" w:hAnsi="Calibri" w:cs="Calibri"/>
          <w:szCs w:val="24"/>
        </w:rPr>
      </w:pPr>
    </w:p>
    <w:p w:rsidR="00C85391" w:rsidRPr="00C85391" w:rsidRDefault="00C85391" w:rsidP="00C85391">
      <w:pPr>
        <w:numPr>
          <w:ilvl w:val="0"/>
          <w:numId w:val="4"/>
        </w:numPr>
        <w:tabs>
          <w:tab w:val="left" w:pos="450"/>
        </w:tabs>
        <w:spacing w:line="276" w:lineRule="auto"/>
        <w:ind w:left="1170"/>
        <w:rPr>
          <w:rFonts w:ascii="Calibri" w:eastAsia="Times New Roman" w:hAnsi="Calibri" w:cs="Calibri"/>
          <w:szCs w:val="24"/>
        </w:rPr>
      </w:pPr>
      <w:r w:rsidRPr="00C85391">
        <w:rPr>
          <w:rFonts w:ascii="Calibri" w:eastAsia="Times New Roman" w:hAnsi="Calibri" w:cs="Calibri"/>
          <w:szCs w:val="24"/>
        </w:rPr>
        <w:t>Licensing, permit requirements and relevant definitions/safety issues.</w:t>
      </w:r>
    </w:p>
    <w:p w:rsidR="00C85391" w:rsidRPr="00C85391" w:rsidRDefault="00C85391" w:rsidP="00C85391">
      <w:pPr>
        <w:numPr>
          <w:ilvl w:val="0"/>
          <w:numId w:val="4"/>
        </w:numPr>
        <w:tabs>
          <w:tab w:val="left" w:pos="450"/>
        </w:tabs>
        <w:spacing w:line="276" w:lineRule="auto"/>
        <w:ind w:left="1170"/>
        <w:rPr>
          <w:rFonts w:ascii="Calibri" w:eastAsia="Times New Roman" w:hAnsi="Calibri" w:cs="Calibri"/>
          <w:szCs w:val="24"/>
        </w:rPr>
      </w:pPr>
      <w:r w:rsidRPr="00C85391">
        <w:rPr>
          <w:rFonts w:ascii="Calibri" w:eastAsia="Times New Roman" w:hAnsi="Calibri" w:cs="Calibri"/>
          <w:szCs w:val="24"/>
        </w:rPr>
        <w:t>Relevant codes and standards, review to include:</w:t>
      </w:r>
    </w:p>
    <w:p w:rsidR="00C85391" w:rsidRPr="00C85391" w:rsidRDefault="00C85391" w:rsidP="00C85391">
      <w:pPr>
        <w:numPr>
          <w:ilvl w:val="1"/>
          <w:numId w:val="4"/>
        </w:numPr>
        <w:tabs>
          <w:tab w:val="left" w:pos="450"/>
        </w:tabs>
        <w:spacing w:line="276" w:lineRule="auto"/>
        <w:ind w:left="1890"/>
        <w:rPr>
          <w:rFonts w:ascii="Calibri" w:eastAsia="Times New Roman" w:hAnsi="Calibri" w:cs="Calibri"/>
          <w:szCs w:val="24"/>
        </w:rPr>
      </w:pPr>
      <w:r w:rsidRPr="00C85391">
        <w:rPr>
          <w:rFonts w:ascii="Calibri" w:eastAsia="Times New Roman" w:hAnsi="Calibri" w:cs="Calibri"/>
          <w:szCs w:val="24"/>
        </w:rPr>
        <w:t>FBC, Building Chapter 4, Section 454.1.4 Electrical systems</w:t>
      </w:r>
    </w:p>
    <w:p w:rsidR="00C85391" w:rsidRPr="00C85391" w:rsidRDefault="00C85391" w:rsidP="00C85391">
      <w:pPr>
        <w:numPr>
          <w:ilvl w:val="1"/>
          <w:numId w:val="4"/>
        </w:numPr>
        <w:tabs>
          <w:tab w:val="left" w:pos="450"/>
        </w:tabs>
        <w:spacing w:line="276" w:lineRule="auto"/>
        <w:ind w:left="1890"/>
        <w:rPr>
          <w:rFonts w:ascii="Calibri" w:eastAsia="Times New Roman" w:hAnsi="Calibri" w:cs="Calibri"/>
          <w:szCs w:val="24"/>
        </w:rPr>
      </w:pPr>
      <w:r w:rsidRPr="00C85391">
        <w:rPr>
          <w:rFonts w:ascii="Calibri" w:eastAsia="Times New Roman" w:hAnsi="Calibri" w:cs="Calibri"/>
          <w:szCs w:val="24"/>
        </w:rPr>
        <w:t>FBC, Residential Chapter 42 Swimming Pools [Electrical Provisions]</w:t>
      </w:r>
    </w:p>
    <w:p w:rsidR="00C85391" w:rsidRPr="00C85391" w:rsidRDefault="00C85391" w:rsidP="00C85391">
      <w:pPr>
        <w:numPr>
          <w:ilvl w:val="1"/>
          <w:numId w:val="4"/>
        </w:numPr>
        <w:tabs>
          <w:tab w:val="left" w:pos="450"/>
        </w:tabs>
        <w:spacing w:line="276" w:lineRule="auto"/>
        <w:ind w:left="1890"/>
        <w:rPr>
          <w:rFonts w:ascii="Calibri" w:eastAsia="Times New Roman" w:hAnsi="Calibri" w:cs="Calibri"/>
          <w:szCs w:val="24"/>
        </w:rPr>
      </w:pPr>
      <w:r w:rsidRPr="00C85391">
        <w:rPr>
          <w:rFonts w:ascii="Calibri" w:eastAsia="Times New Roman" w:hAnsi="Calibri" w:cs="Calibri"/>
          <w:szCs w:val="24"/>
        </w:rPr>
        <w:t>NEC Article 680 Swimming Pools, Fountains, and Similar Installations</w:t>
      </w:r>
    </w:p>
    <w:p w:rsidR="00C85391" w:rsidRPr="00C85391" w:rsidRDefault="00C85391" w:rsidP="00C85391">
      <w:pPr>
        <w:numPr>
          <w:ilvl w:val="1"/>
          <w:numId w:val="4"/>
        </w:numPr>
        <w:tabs>
          <w:tab w:val="left" w:pos="450"/>
        </w:tabs>
        <w:spacing w:line="276" w:lineRule="auto"/>
        <w:ind w:left="1890"/>
        <w:rPr>
          <w:rFonts w:ascii="Calibri" w:eastAsia="Times New Roman" w:hAnsi="Calibri" w:cs="Calibri"/>
          <w:szCs w:val="24"/>
        </w:rPr>
      </w:pPr>
      <w:r w:rsidRPr="00C85391">
        <w:rPr>
          <w:rFonts w:ascii="Calibri" w:eastAsia="Times New Roman" w:hAnsi="Calibri" w:cs="Calibri"/>
          <w:szCs w:val="24"/>
        </w:rPr>
        <w:t>UL 676</w:t>
      </w:r>
      <w:r w:rsidRPr="00C85391">
        <w:rPr>
          <w:rFonts w:ascii="Calibri" w:eastAsia="Times New Roman" w:hAnsi="Calibri" w:cs="Calibri"/>
          <w:b/>
          <w:bCs/>
          <w:szCs w:val="24"/>
        </w:rPr>
        <w:t xml:space="preserve">: </w:t>
      </w:r>
      <w:r w:rsidRPr="00C85391">
        <w:rPr>
          <w:rFonts w:ascii="Calibri" w:eastAsia="Times New Roman" w:hAnsi="Calibri" w:cs="Calibri"/>
          <w:szCs w:val="24"/>
        </w:rPr>
        <w:t xml:space="preserve">Underwater Luminaires and Submersible Junction Boxes </w:t>
      </w:r>
      <w:r w:rsidRPr="00C85391">
        <w:rPr>
          <w:rFonts w:ascii="Calibri" w:eastAsia="Times New Roman" w:hAnsi="Calibri" w:cs="Calibri"/>
          <w:i/>
          <w:szCs w:val="24"/>
        </w:rPr>
        <w:t>(NEMA resources)</w:t>
      </w:r>
    </w:p>
    <w:p w:rsidR="00C85391" w:rsidRPr="00C85391" w:rsidRDefault="00C85391" w:rsidP="00C85391">
      <w:pPr>
        <w:numPr>
          <w:ilvl w:val="1"/>
          <w:numId w:val="4"/>
        </w:numPr>
        <w:tabs>
          <w:tab w:val="left" w:pos="450"/>
        </w:tabs>
        <w:spacing w:line="276" w:lineRule="auto"/>
        <w:ind w:left="1890"/>
        <w:rPr>
          <w:rFonts w:ascii="Calibri" w:eastAsia="Times New Roman" w:hAnsi="Calibri" w:cs="Calibri"/>
          <w:szCs w:val="24"/>
        </w:rPr>
      </w:pPr>
      <w:r w:rsidRPr="00C85391">
        <w:rPr>
          <w:rFonts w:ascii="Calibri" w:eastAsia="Times New Roman" w:hAnsi="Calibri" w:cs="Calibri"/>
          <w:szCs w:val="24"/>
        </w:rPr>
        <w:t>Technical amendments to FBC</w:t>
      </w:r>
    </w:p>
    <w:p w:rsidR="00C85391" w:rsidRPr="00C85391" w:rsidRDefault="00C85391" w:rsidP="00C85391">
      <w:pPr>
        <w:numPr>
          <w:ilvl w:val="1"/>
          <w:numId w:val="4"/>
        </w:numPr>
        <w:tabs>
          <w:tab w:val="left" w:pos="450"/>
        </w:tabs>
        <w:spacing w:line="276" w:lineRule="auto"/>
        <w:ind w:left="1890"/>
        <w:rPr>
          <w:rFonts w:ascii="Calibri" w:eastAsia="Times New Roman" w:hAnsi="Calibri" w:cs="Calibri"/>
          <w:szCs w:val="24"/>
        </w:rPr>
      </w:pPr>
      <w:r w:rsidRPr="00C85391">
        <w:rPr>
          <w:rFonts w:ascii="Calibri" w:eastAsia="Times New Roman" w:hAnsi="Calibri" w:cs="Calibri"/>
          <w:szCs w:val="24"/>
        </w:rPr>
        <w:t>U.S. Consumer Product Safety Commission provisions/recommendations</w:t>
      </w:r>
    </w:p>
    <w:p w:rsidR="00C85391" w:rsidRPr="00C85391" w:rsidRDefault="00C85391" w:rsidP="00C85391">
      <w:pPr>
        <w:numPr>
          <w:ilvl w:val="0"/>
          <w:numId w:val="4"/>
        </w:numPr>
        <w:tabs>
          <w:tab w:val="left" w:pos="450"/>
        </w:tabs>
        <w:spacing w:line="276" w:lineRule="auto"/>
        <w:ind w:left="1170"/>
        <w:rPr>
          <w:rFonts w:ascii="Calibri" w:eastAsia="Times New Roman" w:hAnsi="Calibri" w:cs="Calibri"/>
          <w:szCs w:val="24"/>
        </w:rPr>
      </w:pPr>
      <w:r w:rsidRPr="00C85391">
        <w:rPr>
          <w:rFonts w:ascii="Calibri" w:eastAsia="Times New Roman" w:hAnsi="Calibri" w:cs="Calibri"/>
          <w:szCs w:val="24"/>
        </w:rPr>
        <w:t>Underwater luminaires and related equipment - Low voltage lighting, bonding (equipotential bonding), grounding (wet-niche, no-niche luminaire), field wiring (dry niche luminaire), GFCIs, stray voltage.</w:t>
      </w:r>
    </w:p>
    <w:p w:rsidR="00C85391" w:rsidRPr="00C85391" w:rsidRDefault="00C85391" w:rsidP="00C85391">
      <w:pPr>
        <w:numPr>
          <w:ilvl w:val="0"/>
          <w:numId w:val="4"/>
        </w:numPr>
        <w:tabs>
          <w:tab w:val="left" w:pos="450"/>
        </w:tabs>
        <w:spacing w:line="276" w:lineRule="auto"/>
        <w:ind w:left="1170"/>
        <w:rPr>
          <w:rFonts w:ascii="Calibri" w:eastAsia="Times New Roman" w:hAnsi="Calibri" w:cs="Calibri"/>
          <w:szCs w:val="24"/>
        </w:rPr>
      </w:pPr>
      <w:r w:rsidRPr="00C85391">
        <w:rPr>
          <w:rFonts w:ascii="Calibri" w:eastAsia="Times New Roman" w:hAnsi="Calibri" w:cs="Calibri"/>
          <w:szCs w:val="24"/>
        </w:rPr>
        <w:t>UL 676 and 1081 standards.</w:t>
      </w:r>
    </w:p>
    <w:p w:rsidR="00C85391" w:rsidRPr="00C85391" w:rsidRDefault="00C85391" w:rsidP="00C85391">
      <w:pPr>
        <w:numPr>
          <w:ilvl w:val="0"/>
          <w:numId w:val="4"/>
        </w:numPr>
        <w:tabs>
          <w:tab w:val="left" w:pos="450"/>
        </w:tabs>
        <w:spacing w:line="276" w:lineRule="auto"/>
        <w:ind w:left="1170"/>
        <w:rPr>
          <w:rFonts w:ascii="Calibri" w:eastAsia="Times New Roman" w:hAnsi="Calibri" w:cs="Calibri"/>
          <w:szCs w:val="24"/>
        </w:rPr>
      </w:pPr>
      <w:r w:rsidRPr="00C85391">
        <w:rPr>
          <w:rFonts w:ascii="Calibri" w:eastAsia="Times New Roman" w:hAnsi="Calibri" w:cs="Calibri"/>
          <w:szCs w:val="24"/>
        </w:rPr>
        <w:t>Maintenance and Repair – preventative maintenance, retrofitting/replacement, safety precautions.</w:t>
      </w:r>
    </w:p>
    <w:p w:rsidR="00C85391" w:rsidRPr="00C85391" w:rsidRDefault="00C85391" w:rsidP="00C85391">
      <w:pPr>
        <w:numPr>
          <w:ilvl w:val="0"/>
          <w:numId w:val="4"/>
        </w:numPr>
        <w:tabs>
          <w:tab w:val="left" w:pos="450"/>
        </w:tabs>
        <w:spacing w:line="276" w:lineRule="auto"/>
        <w:ind w:left="1170"/>
        <w:rPr>
          <w:rFonts w:ascii="Calibri" w:eastAsia="Times New Roman" w:hAnsi="Calibri" w:cs="Calibri"/>
          <w:szCs w:val="24"/>
        </w:rPr>
      </w:pPr>
      <w:r w:rsidRPr="00C85391">
        <w:rPr>
          <w:rFonts w:ascii="Calibri" w:eastAsia="Times New Roman" w:hAnsi="Calibri" w:cs="Calibri"/>
          <w:szCs w:val="24"/>
        </w:rPr>
        <w:t>Appropriate reference and relevant local, state, and industry contacts.</w:t>
      </w:r>
    </w:p>
    <w:p w:rsidR="00C85391" w:rsidRPr="00C85391" w:rsidRDefault="00C85391" w:rsidP="00C85391">
      <w:pPr>
        <w:tabs>
          <w:tab w:val="left" w:pos="450"/>
        </w:tabs>
        <w:ind w:left="450"/>
        <w:rPr>
          <w:rFonts w:ascii="Calibri" w:eastAsia="Times New Roman" w:hAnsi="Calibri" w:cs="Calibri"/>
          <w:szCs w:val="24"/>
        </w:rPr>
      </w:pPr>
    </w:p>
    <w:p w:rsidR="00C85391" w:rsidRPr="00C85391" w:rsidRDefault="00C85391" w:rsidP="00C85391">
      <w:pPr>
        <w:numPr>
          <w:ilvl w:val="0"/>
          <w:numId w:val="3"/>
        </w:numPr>
        <w:tabs>
          <w:tab w:val="left" w:pos="450"/>
        </w:tabs>
        <w:spacing w:line="276" w:lineRule="auto"/>
        <w:rPr>
          <w:rFonts w:ascii="Calibri" w:eastAsia="Times New Roman" w:hAnsi="Calibri" w:cs="Calibri"/>
          <w:b/>
          <w:szCs w:val="24"/>
        </w:rPr>
      </w:pPr>
      <w:r w:rsidRPr="00C85391">
        <w:rPr>
          <w:rFonts w:ascii="Calibri" w:eastAsia="Times New Roman" w:hAnsi="Calibri" w:cs="Calibri"/>
          <w:b/>
          <w:szCs w:val="24"/>
        </w:rPr>
        <w:t>Training Module (~ 1- hour presentation)</w:t>
      </w:r>
    </w:p>
    <w:p w:rsidR="00C85391" w:rsidRPr="00C85391" w:rsidRDefault="00C85391" w:rsidP="00C85391">
      <w:pPr>
        <w:rPr>
          <w:rFonts w:ascii="Calibri" w:eastAsia="Times New Roman" w:hAnsi="Calibri" w:cs="Calibri"/>
          <w:szCs w:val="24"/>
        </w:rPr>
      </w:pPr>
    </w:p>
    <w:p w:rsidR="00C85391" w:rsidRPr="00C85391" w:rsidRDefault="00C85391" w:rsidP="00C85391">
      <w:pPr>
        <w:ind w:left="450"/>
        <w:rPr>
          <w:rFonts w:ascii="Calibri" w:eastAsia="Times New Roman" w:hAnsi="Calibri" w:cs="Calibri"/>
          <w:szCs w:val="24"/>
        </w:rPr>
      </w:pPr>
      <w:r w:rsidRPr="00C85391">
        <w:rPr>
          <w:rFonts w:ascii="Calibri" w:eastAsia="Times New Roman" w:hAnsi="Calibri" w:cs="Calibri"/>
          <w:b/>
          <w:i/>
          <w:szCs w:val="24"/>
        </w:rPr>
        <w:t>Target Audience:</w:t>
      </w:r>
      <w:r w:rsidRPr="00C85391">
        <w:rPr>
          <w:rFonts w:ascii="Calibri" w:eastAsia="Times New Roman" w:hAnsi="Calibri" w:cs="Calibri"/>
          <w:szCs w:val="24"/>
        </w:rPr>
        <w:t xml:space="preserve">  Professionals involved with swimming pool design, construction, maintenance and repair.</w:t>
      </w:r>
    </w:p>
    <w:p w:rsidR="00C85391" w:rsidRPr="00C85391" w:rsidRDefault="00C85391" w:rsidP="00C85391">
      <w:pPr>
        <w:rPr>
          <w:rFonts w:ascii="Calibri" w:eastAsia="Times New Roman" w:hAnsi="Calibri" w:cs="Calibri"/>
          <w:szCs w:val="24"/>
        </w:rPr>
      </w:pPr>
    </w:p>
    <w:p w:rsidR="00C85391" w:rsidRPr="00C85391" w:rsidRDefault="00C85391" w:rsidP="00C85391">
      <w:pPr>
        <w:tabs>
          <w:tab w:val="left" w:pos="450"/>
        </w:tabs>
        <w:ind w:left="450"/>
        <w:rPr>
          <w:rFonts w:ascii="Calibri" w:eastAsia="Times New Roman" w:hAnsi="Calibri" w:cs="Calibri"/>
          <w:szCs w:val="24"/>
        </w:rPr>
      </w:pPr>
      <w:r w:rsidRPr="00C85391">
        <w:rPr>
          <w:rFonts w:ascii="Calibri" w:eastAsia="Times New Roman" w:hAnsi="Calibri" w:cs="Calibri"/>
          <w:b/>
          <w:i/>
          <w:szCs w:val="24"/>
        </w:rPr>
        <w:t>Content Outline</w:t>
      </w:r>
      <w:r w:rsidRPr="00C85391">
        <w:rPr>
          <w:rFonts w:ascii="Calibri" w:eastAsia="Times New Roman" w:hAnsi="Calibri" w:cs="Calibri"/>
          <w:szCs w:val="24"/>
        </w:rPr>
        <w:t>:</w:t>
      </w:r>
    </w:p>
    <w:p w:rsidR="00C85391" w:rsidRPr="00C85391" w:rsidRDefault="00C85391" w:rsidP="00C85391">
      <w:pPr>
        <w:rPr>
          <w:rFonts w:ascii="Calibri" w:eastAsia="Times New Roman" w:hAnsi="Calibri" w:cs="Calibri"/>
          <w:szCs w:val="24"/>
        </w:rPr>
      </w:pPr>
    </w:p>
    <w:p w:rsidR="00C85391" w:rsidRPr="00C85391" w:rsidRDefault="00C85391" w:rsidP="00C85391">
      <w:pPr>
        <w:numPr>
          <w:ilvl w:val="0"/>
          <w:numId w:val="5"/>
        </w:numPr>
        <w:tabs>
          <w:tab w:val="left" w:pos="1170"/>
        </w:tabs>
        <w:spacing w:line="276" w:lineRule="auto"/>
        <w:rPr>
          <w:rFonts w:ascii="Calibri" w:eastAsia="Times New Roman" w:hAnsi="Calibri" w:cs="Calibri"/>
          <w:szCs w:val="24"/>
        </w:rPr>
      </w:pPr>
      <w:r w:rsidRPr="00C85391">
        <w:rPr>
          <w:rFonts w:ascii="Calibri" w:eastAsia="Times New Roman" w:hAnsi="Calibri" w:cs="Calibri"/>
          <w:szCs w:val="24"/>
        </w:rPr>
        <w:t xml:space="preserve">Current issues/status of code amendments </w:t>
      </w:r>
    </w:p>
    <w:p w:rsidR="00C85391" w:rsidRPr="00C85391" w:rsidRDefault="00C85391" w:rsidP="00C85391">
      <w:pPr>
        <w:numPr>
          <w:ilvl w:val="0"/>
          <w:numId w:val="5"/>
        </w:numPr>
        <w:tabs>
          <w:tab w:val="left" w:pos="1170"/>
        </w:tabs>
        <w:spacing w:line="276" w:lineRule="auto"/>
        <w:rPr>
          <w:rFonts w:ascii="Calibri" w:eastAsia="Times New Roman" w:hAnsi="Calibri" w:cs="Calibri"/>
          <w:szCs w:val="24"/>
        </w:rPr>
      </w:pPr>
      <w:r w:rsidRPr="00C85391">
        <w:rPr>
          <w:rFonts w:ascii="Calibri" w:eastAsia="Times New Roman" w:hAnsi="Calibri" w:cs="Calibri"/>
          <w:szCs w:val="24"/>
        </w:rPr>
        <w:t>Summary of relevant FBC and NEC codes and standards (UL)</w:t>
      </w:r>
    </w:p>
    <w:p w:rsidR="00C85391" w:rsidRPr="00C85391" w:rsidRDefault="00C85391" w:rsidP="00C85391">
      <w:pPr>
        <w:numPr>
          <w:ilvl w:val="0"/>
          <w:numId w:val="5"/>
        </w:numPr>
        <w:tabs>
          <w:tab w:val="left" w:pos="1170"/>
        </w:tabs>
        <w:spacing w:line="276" w:lineRule="auto"/>
        <w:rPr>
          <w:rFonts w:ascii="Calibri" w:eastAsia="Times New Roman" w:hAnsi="Calibri" w:cs="Calibri"/>
          <w:szCs w:val="24"/>
        </w:rPr>
      </w:pPr>
      <w:r w:rsidRPr="00C85391">
        <w:rPr>
          <w:rFonts w:ascii="Calibri" w:eastAsia="Times New Roman" w:hAnsi="Calibri" w:cs="Calibri"/>
          <w:szCs w:val="24"/>
        </w:rPr>
        <w:t>Overview of proper ground and luminaire bonding, GFCIs, stray voltage</w:t>
      </w:r>
    </w:p>
    <w:p w:rsidR="00C85391" w:rsidRPr="00C85391" w:rsidRDefault="00C85391" w:rsidP="00C85391">
      <w:pPr>
        <w:numPr>
          <w:ilvl w:val="0"/>
          <w:numId w:val="5"/>
        </w:numPr>
        <w:tabs>
          <w:tab w:val="left" w:pos="1170"/>
        </w:tabs>
        <w:spacing w:line="276" w:lineRule="auto"/>
        <w:rPr>
          <w:rFonts w:ascii="Calibri" w:eastAsia="Times New Roman" w:hAnsi="Calibri" w:cs="Calibri"/>
          <w:szCs w:val="24"/>
        </w:rPr>
      </w:pPr>
      <w:r w:rsidRPr="00C85391">
        <w:rPr>
          <w:rFonts w:ascii="Calibri" w:eastAsia="Times New Roman" w:hAnsi="Calibri" w:cs="Calibri"/>
          <w:szCs w:val="24"/>
        </w:rPr>
        <w:t>Review of proper maintenance/servicing, repair and retrofitting</w:t>
      </w:r>
    </w:p>
    <w:p w:rsidR="00C85391" w:rsidRPr="00C85391" w:rsidRDefault="00C85391" w:rsidP="00C85391">
      <w:pPr>
        <w:numPr>
          <w:ilvl w:val="0"/>
          <w:numId w:val="5"/>
        </w:numPr>
        <w:tabs>
          <w:tab w:val="left" w:pos="1170"/>
        </w:tabs>
        <w:spacing w:line="276" w:lineRule="auto"/>
        <w:rPr>
          <w:rFonts w:ascii="Calibri" w:eastAsia="Times New Roman" w:hAnsi="Calibri" w:cs="Calibri"/>
          <w:i/>
          <w:szCs w:val="24"/>
        </w:rPr>
      </w:pPr>
      <w:r w:rsidRPr="00C85391">
        <w:rPr>
          <w:rFonts w:ascii="Calibri" w:eastAsia="Times New Roman" w:hAnsi="Calibri" w:cs="Calibri"/>
          <w:szCs w:val="24"/>
        </w:rPr>
        <w:t xml:space="preserve">Self-assessment question/answer </w:t>
      </w:r>
      <w:r w:rsidRPr="00C85391">
        <w:rPr>
          <w:rFonts w:ascii="Calibri" w:eastAsia="Times New Roman" w:hAnsi="Calibri" w:cs="Calibri"/>
          <w:i/>
          <w:szCs w:val="24"/>
        </w:rPr>
        <w:t>(handout)</w:t>
      </w:r>
    </w:p>
    <w:p w:rsidR="00C85391" w:rsidRPr="00C85391" w:rsidRDefault="00C85391" w:rsidP="00C85391">
      <w:pPr>
        <w:numPr>
          <w:ilvl w:val="0"/>
          <w:numId w:val="5"/>
        </w:numPr>
        <w:tabs>
          <w:tab w:val="left" w:pos="1170"/>
        </w:tabs>
        <w:spacing w:line="276" w:lineRule="auto"/>
        <w:rPr>
          <w:rFonts w:ascii="Calibri" w:eastAsia="Times New Roman" w:hAnsi="Calibri" w:cs="Calibri"/>
          <w:szCs w:val="24"/>
        </w:rPr>
      </w:pPr>
      <w:r w:rsidRPr="00C85391">
        <w:rPr>
          <w:rFonts w:ascii="Calibri" w:eastAsia="Times New Roman" w:hAnsi="Calibri" w:cs="Calibri"/>
          <w:szCs w:val="24"/>
        </w:rPr>
        <w:t xml:space="preserve">Training Evaluation </w:t>
      </w:r>
      <w:r w:rsidRPr="00C85391">
        <w:rPr>
          <w:rFonts w:ascii="Calibri" w:eastAsia="Times New Roman" w:hAnsi="Calibri" w:cs="Calibri"/>
          <w:i/>
          <w:szCs w:val="24"/>
        </w:rPr>
        <w:t>(handout)</w:t>
      </w:r>
    </w:p>
    <w:p w:rsidR="00C85391" w:rsidRPr="00C85391" w:rsidRDefault="00C85391" w:rsidP="00C85391">
      <w:pPr>
        <w:tabs>
          <w:tab w:val="left" w:pos="1170"/>
        </w:tabs>
        <w:rPr>
          <w:rFonts w:ascii="Calibri" w:eastAsia="Times New Roman" w:hAnsi="Calibri" w:cs="Calibri"/>
          <w:szCs w:val="24"/>
        </w:rPr>
      </w:pPr>
    </w:p>
    <w:p w:rsidR="00C85391" w:rsidRPr="00C85391" w:rsidRDefault="00C85391" w:rsidP="00C85391">
      <w:pPr>
        <w:tabs>
          <w:tab w:val="left" w:pos="1170"/>
        </w:tabs>
        <w:rPr>
          <w:rFonts w:ascii="Calibri" w:eastAsia="Times New Roman" w:hAnsi="Calibri" w:cs="Calibri"/>
          <w:szCs w:val="24"/>
        </w:rPr>
      </w:pPr>
    </w:p>
    <w:p w:rsidR="00C85391" w:rsidRPr="00C85391" w:rsidRDefault="00C85391" w:rsidP="00C85391">
      <w:pPr>
        <w:spacing w:line="276" w:lineRule="auto"/>
        <w:rPr>
          <w:rFonts w:ascii="Calibri" w:eastAsia="Times New Roman" w:hAnsi="Calibri" w:cs="Calibri"/>
          <w:szCs w:val="24"/>
        </w:rPr>
      </w:pPr>
      <w:r w:rsidRPr="00C85391">
        <w:rPr>
          <w:rFonts w:ascii="Calibri" w:eastAsia="Times New Roman" w:hAnsi="Calibri" w:cs="Calibri"/>
          <w:szCs w:val="24"/>
        </w:rPr>
        <w:t xml:space="preserve">For comments/feedback/questions, please contact Craig Miller, UF/PREC, (352)392-1513 or </w:t>
      </w:r>
      <w:hyperlink r:id="rId6" w:history="1">
        <w:r w:rsidRPr="00C85391">
          <w:rPr>
            <w:rFonts w:ascii="Calibri" w:eastAsia="Times New Roman" w:hAnsi="Calibri" w:cs="Calibri"/>
            <w:color w:val="0000FF"/>
            <w:szCs w:val="24"/>
            <w:u w:val="single"/>
          </w:rPr>
          <w:t>craigmil@ufl.edu</w:t>
        </w:r>
      </w:hyperlink>
    </w:p>
    <w:p w:rsidR="00C85391" w:rsidRPr="00C85391" w:rsidRDefault="00C85391" w:rsidP="00C85391">
      <w:pPr>
        <w:spacing w:line="276" w:lineRule="auto"/>
        <w:rPr>
          <w:rFonts w:ascii="Calibri" w:eastAsia="Times New Roman" w:hAnsi="Calibri" w:cs="Calibri"/>
          <w:szCs w:val="24"/>
        </w:rPr>
      </w:pPr>
    </w:p>
    <w:p w:rsidR="00AA1634" w:rsidRPr="00AA1634" w:rsidRDefault="00AA1634">
      <w:pPr>
        <w:rPr>
          <w:u w:val="single"/>
        </w:rPr>
      </w:pPr>
    </w:p>
    <w:sectPr w:rsidR="00AA1634" w:rsidRPr="00AA1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931"/>
    <w:multiLevelType w:val="hybridMultilevel"/>
    <w:tmpl w:val="26DE62EC"/>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C3966"/>
    <w:multiLevelType w:val="multilevel"/>
    <w:tmpl w:val="8514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04969"/>
    <w:multiLevelType w:val="hybridMultilevel"/>
    <w:tmpl w:val="0B7CED1E"/>
    <w:lvl w:ilvl="0" w:tplc="17D4A5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E693D"/>
    <w:multiLevelType w:val="multilevel"/>
    <w:tmpl w:val="1C9A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8E528A"/>
    <w:multiLevelType w:val="hybridMultilevel"/>
    <w:tmpl w:val="8DA6B3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DF"/>
    <w:rsid w:val="004C76DF"/>
    <w:rsid w:val="005F4597"/>
    <w:rsid w:val="00676B62"/>
    <w:rsid w:val="00A561EE"/>
    <w:rsid w:val="00AA1634"/>
    <w:rsid w:val="00B850E3"/>
    <w:rsid w:val="00C85391"/>
    <w:rsid w:val="00DF0959"/>
    <w:rsid w:val="00E22C18"/>
    <w:rsid w:val="00E24571"/>
    <w:rsid w:val="00E4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DF"/>
    <w:rPr>
      <w:rFonts w:ascii="Times New Roman" w:eastAsia="Times"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634"/>
    <w:pPr>
      <w:spacing w:before="100" w:beforeAutospacing="1" w:after="100" w:afterAutospacing="1"/>
    </w:pPr>
    <w:rPr>
      <w:rFonts w:eastAsia="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DF"/>
    <w:rPr>
      <w:rFonts w:ascii="Times New Roman" w:eastAsia="Times"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634"/>
    <w:pPr>
      <w:spacing w:before="100" w:beforeAutospacing="1" w:after="100" w:afterAutospacing="1"/>
    </w:pPr>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igmil@ufl.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4</cp:revision>
  <dcterms:created xsi:type="dcterms:W3CDTF">2016-05-15T23:53:00Z</dcterms:created>
  <dcterms:modified xsi:type="dcterms:W3CDTF">2016-05-16T12:52:00Z</dcterms:modified>
</cp:coreProperties>
</file>