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3DD36" w14:textId="77777777" w:rsidR="009C0994" w:rsidRPr="00977989" w:rsidRDefault="00CB2E4B">
      <w:pPr>
        <w:rPr>
          <w:rFonts w:cstheme="minorHAnsi"/>
        </w:rPr>
      </w:pPr>
      <w:r w:rsidRPr="00977989">
        <w:rPr>
          <w:rFonts w:cstheme="minorHAnsi"/>
          <w:noProof/>
        </w:rPr>
        <w:drawing>
          <wp:inline distT="0" distB="0" distL="0" distR="0" wp14:anchorId="2B99F65F" wp14:editId="4C8D6BA9">
            <wp:extent cx="1675454" cy="10363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f logo jpg 5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3700" cy="1041420"/>
                    </a:xfrm>
                    <a:prstGeom prst="rect">
                      <a:avLst/>
                    </a:prstGeom>
                  </pic:spPr>
                </pic:pic>
              </a:graphicData>
            </a:graphic>
          </wp:inline>
        </w:drawing>
      </w:r>
    </w:p>
    <w:p w14:paraId="2F684D3A" w14:textId="77777777" w:rsidR="00977989" w:rsidRDefault="00977989" w:rsidP="00CB2E4B">
      <w:pPr>
        <w:jc w:val="center"/>
        <w:rPr>
          <w:rFonts w:cstheme="minorHAnsi"/>
          <w:b/>
          <w:sz w:val="40"/>
          <w:szCs w:val="40"/>
          <w:u w:val="single"/>
        </w:rPr>
      </w:pPr>
    </w:p>
    <w:p w14:paraId="4E4ECE85" w14:textId="383E3873" w:rsidR="00CB2E4B" w:rsidRPr="00977989" w:rsidRDefault="00CB2E4B" w:rsidP="00CB2E4B">
      <w:pPr>
        <w:jc w:val="center"/>
        <w:rPr>
          <w:rFonts w:cstheme="minorHAnsi"/>
          <w:b/>
          <w:sz w:val="40"/>
          <w:szCs w:val="40"/>
          <w:u w:val="single"/>
        </w:rPr>
      </w:pPr>
      <w:r w:rsidRPr="00977989">
        <w:rPr>
          <w:rFonts w:cstheme="minorHAnsi"/>
          <w:b/>
          <w:sz w:val="40"/>
          <w:szCs w:val="40"/>
          <w:u w:val="single"/>
        </w:rPr>
        <w:t xml:space="preserve">Florida Building Code Binding Interpretation Report Number </w:t>
      </w:r>
      <w:r w:rsidR="00FB426A">
        <w:rPr>
          <w:rFonts w:cstheme="minorHAnsi"/>
          <w:b/>
          <w:sz w:val="40"/>
          <w:szCs w:val="40"/>
          <w:u w:val="single"/>
        </w:rPr>
        <w:t>178</w:t>
      </w:r>
    </w:p>
    <w:p w14:paraId="4055A1D4" w14:textId="122DF509" w:rsidR="00CB2E4B" w:rsidRPr="00024ABE" w:rsidRDefault="00CB2E4B" w:rsidP="00CB2E4B">
      <w:pPr>
        <w:rPr>
          <w:rFonts w:cstheme="minorHAnsi"/>
          <w:b/>
          <w:sz w:val="28"/>
          <w:szCs w:val="28"/>
        </w:rPr>
      </w:pPr>
      <w:r w:rsidRPr="00024ABE">
        <w:rPr>
          <w:rFonts w:cstheme="minorHAnsi"/>
          <w:b/>
          <w:sz w:val="28"/>
          <w:szCs w:val="28"/>
        </w:rPr>
        <w:t xml:space="preserve">Date: </w:t>
      </w:r>
      <w:r w:rsidR="00FB426A" w:rsidRPr="00024ABE">
        <w:rPr>
          <w:rFonts w:cstheme="minorHAnsi"/>
          <w:b/>
          <w:sz w:val="28"/>
          <w:szCs w:val="28"/>
        </w:rPr>
        <w:t>January 22, 2020</w:t>
      </w:r>
    </w:p>
    <w:p w14:paraId="302E0FDE" w14:textId="37A6DB91" w:rsidR="00CB2E4B" w:rsidRPr="00024ABE" w:rsidRDefault="00CB2E4B" w:rsidP="00CB2E4B">
      <w:pPr>
        <w:rPr>
          <w:rFonts w:cstheme="minorHAnsi"/>
          <w:b/>
          <w:sz w:val="28"/>
          <w:szCs w:val="28"/>
        </w:rPr>
      </w:pPr>
      <w:r w:rsidRPr="00024ABE">
        <w:rPr>
          <w:rFonts w:cstheme="minorHAnsi"/>
          <w:b/>
          <w:sz w:val="28"/>
          <w:szCs w:val="28"/>
        </w:rPr>
        <w:t xml:space="preserve">Report: </w:t>
      </w:r>
      <w:r w:rsidR="00FB426A" w:rsidRPr="00024ABE">
        <w:rPr>
          <w:rFonts w:cstheme="minorHAnsi"/>
          <w:b/>
          <w:sz w:val="28"/>
          <w:szCs w:val="28"/>
        </w:rPr>
        <w:t>178</w:t>
      </w:r>
    </w:p>
    <w:p w14:paraId="722386EB" w14:textId="24FE47F5" w:rsidR="00CB2E4B" w:rsidRPr="00024ABE" w:rsidRDefault="00305080" w:rsidP="00CB2E4B">
      <w:pPr>
        <w:rPr>
          <w:rFonts w:cstheme="minorHAnsi"/>
          <w:b/>
          <w:sz w:val="28"/>
          <w:szCs w:val="28"/>
        </w:rPr>
      </w:pPr>
      <w:r w:rsidRPr="00024ABE">
        <w:rPr>
          <w:rFonts w:cstheme="minorHAnsi"/>
          <w:b/>
          <w:sz w:val="28"/>
          <w:szCs w:val="28"/>
        </w:rPr>
        <w:t xml:space="preserve">Code </w:t>
      </w:r>
      <w:r w:rsidR="00CB2E4B" w:rsidRPr="00024ABE">
        <w:rPr>
          <w:rFonts w:cstheme="minorHAnsi"/>
          <w:b/>
          <w:sz w:val="28"/>
          <w:szCs w:val="28"/>
        </w:rPr>
        <w:t>Edition:</w:t>
      </w:r>
      <w:r w:rsidR="00977989" w:rsidRPr="00024ABE">
        <w:rPr>
          <w:rFonts w:cstheme="minorHAnsi"/>
          <w:b/>
          <w:sz w:val="28"/>
          <w:szCs w:val="28"/>
        </w:rPr>
        <w:t xml:space="preserve"> 6</w:t>
      </w:r>
      <w:r w:rsidR="00977989" w:rsidRPr="00024ABE">
        <w:rPr>
          <w:rFonts w:cstheme="minorHAnsi"/>
          <w:b/>
          <w:sz w:val="28"/>
          <w:szCs w:val="28"/>
          <w:vertAlign w:val="superscript"/>
        </w:rPr>
        <w:t>th</w:t>
      </w:r>
      <w:r w:rsidR="00977989" w:rsidRPr="00024ABE">
        <w:rPr>
          <w:rFonts w:cstheme="minorHAnsi"/>
          <w:b/>
          <w:sz w:val="28"/>
          <w:szCs w:val="28"/>
        </w:rPr>
        <w:t xml:space="preserve"> Edition</w:t>
      </w:r>
      <w:r w:rsidR="00F32220" w:rsidRPr="00024ABE">
        <w:rPr>
          <w:rFonts w:cstheme="minorHAnsi"/>
          <w:b/>
          <w:sz w:val="28"/>
          <w:szCs w:val="28"/>
        </w:rPr>
        <w:t xml:space="preserve"> (2017)</w:t>
      </w:r>
    </w:p>
    <w:p w14:paraId="57FBEC51" w14:textId="363B98B4" w:rsidR="00CB2E4B" w:rsidRPr="00024ABE" w:rsidRDefault="00FB426A" w:rsidP="00CB2E4B">
      <w:pPr>
        <w:rPr>
          <w:rFonts w:cstheme="minorHAnsi"/>
          <w:b/>
          <w:sz w:val="28"/>
          <w:szCs w:val="28"/>
        </w:rPr>
      </w:pPr>
      <w:r w:rsidRPr="00024ABE">
        <w:rPr>
          <w:rFonts w:cstheme="minorHAnsi"/>
          <w:b/>
          <w:sz w:val="28"/>
          <w:szCs w:val="28"/>
        </w:rPr>
        <w:t>Section</w:t>
      </w:r>
      <w:r w:rsidR="00CB2E4B" w:rsidRPr="00024ABE">
        <w:rPr>
          <w:rFonts w:cstheme="minorHAnsi"/>
          <w:b/>
          <w:sz w:val="28"/>
          <w:szCs w:val="28"/>
        </w:rPr>
        <w:t xml:space="preserve">: </w:t>
      </w:r>
      <w:r w:rsidRPr="00024ABE">
        <w:rPr>
          <w:rFonts w:cstheme="minorHAnsi"/>
          <w:b/>
          <w:sz w:val="28"/>
          <w:szCs w:val="28"/>
        </w:rPr>
        <w:t>R312.1.1</w:t>
      </w:r>
    </w:p>
    <w:p w14:paraId="275DF20E" w14:textId="721E90C4" w:rsidR="00024ABE" w:rsidRPr="00024ABE" w:rsidRDefault="00024ABE" w:rsidP="00CB2E4B">
      <w:pPr>
        <w:rPr>
          <w:rFonts w:cstheme="minorHAnsi"/>
          <w:b/>
          <w:sz w:val="28"/>
          <w:szCs w:val="28"/>
        </w:rPr>
      </w:pPr>
      <w:r w:rsidRPr="00024ABE">
        <w:rPr>
          <w:rFonts w:cstheme="minorHAnsi"/>
          <w:b/>
          <w:sz w:val="28"/>
          <w:szCs w:val="28"/>
        </w:rPr>
        <w:t>Text of code provisions:</w:t>
      </w:r>
    </w:p>
    <w:p w14:paraId="19A4AA17" w14:textId="3AD1BA13" w:rsidR="00024ABE" w:rsidRDefault="00024ABE" w:rsidP="00024ABE">
      <w:pPr>
        <w:rPr>
          <w:rFonts w:cstheme="minorHAnsi"/>
          <w:sz w:val="28"/>
          <w:szCs w:val="28"/>
        </w:rPr>
      </w:pPr>
      <w:r w:rsidRPr="00024ABE">
        <w:rPr>
          <w:rFonts w:cstheme="minorHAnsi"/>
          <w:b/>
          <w:sz w:val="28"/>
          <w:szCs w:val="28"/>
        </w:rPr>
        <w:t>R312.1.1</w:t>
      </w:r>
      <w:r w:rsidRPr="00024ABE">
        <w:rPr>
          <w:rFonts w:cstheme="minorHAnsi"/>
          <w:sz w:val="28"/>
          <w:szCs w:val="28"/>
        </w:rPr>
        <w:t xml:space="preserve"> Where required. Guards shall be located along</w:t>
      </w:r>
      <w:r>
        <w:rPr>
          <w:rFonts w:cstheme="minorHAnsi"/>
          <w:sz w:val="28"/>
          <w:szCs w:val="28"/>
        </w:rPr>
        <w:t xml:space="preserve"> </w:t>
      </w:r>
      <w:r w:rsidRPr="00024ABE">
        <w:rPr>
          <w:rFonts w:cstheme="minorHAnsi"/>
          <w:sz w:val="28"/>
          <w:szCs w:val="28"/>
        </w:rPr>
        <w:t>open-sided walking surfaces, including stairs, ramps and</w:t>
      </w:r>
      <w:r>
        <w:rPr>
          <w:rFonts w:cstheme="minorHAnsi"/>
          <w:sz w:val="28"/>
          <w:szCs w:val="28"/>
        </w:rPr>
        <w:t xml:space="preserve"> landings</w:t>
      </w:r>
      <w:r w:rsidRPr="00024ABE">
        <w:rPr>
          <w:rFonts w:cstheme="minorHAnsi"/>
          <w:sz w:val="28"/>
          <w:szCs w:val="28"/>
        </w:rPr>
        <w:t xml:space="preserve"> that are located more than 30 inches (762 mm)</w:t>
      </w:r>
      <w:r>
        <w:rPr>
          <w:rFonts w:cstheme="minorHAnsi"/>
          <w:sz w:val="28"/>
          <w:szCs w:val="28"/>
        </w:rPr>
        <w:t xml:space="preserve"> </w:t>
      </w:r>
      <w:r w:rsidRPr="00024ABE">
        <w:rPr>
          <w:rFonts w:cstheme="minorHAnsi"/>
          <w:sz w:val="28"/>
          <w:szCs w:val="28"/>
        </w:rPr>
        <w:t>measured vertically to the floor or grade below at any</w:t>
      </w:r>
      <w:r>
        <w:rPr>
          <w:rFonts w:cstheme="minorHAnsi"/>
          <w:sz w:val="28"/>
          <w:szCs w:val="28"/>
        </w:rPr>
        <w:t xml:space="preserve"> </w:t>
      </w:r>
      <w:r w:rsidRPr="00024ABE">
        <w:rPr>
          <w:rFonts w:cstheme="minorHAnsi"/>
          <w:sz w:val="28"/>
          <w:szCs w:val="28"/>
        </w:rPr>
        <w:t>point within 24 inches (610 mm) horizontally to the edge</w:t>
      </w:r>
      <w:r>
        <w:rPr>
          <w:rFonts w:cstheme="minorHAnsi"/>
          <w:sz w:val="28"/>
          <w:szCs w:val="28"/>
        </w:rPr>
        <w:t xml:space="preserve"> </w:t>
      </w:r>
      <w:r w:rsidRPr="00024ABE">
        <w:rPr>
          <w:rFonts w:cstheme="minorHAnsi"/>
          <w:sz w:val="28"/>
          <w:szCs w:val="28"/>
        </w:rPr>
        <w:t>of the open side. Insect screening shall not be considered</w:t>
      </w:r>
      <w:r>
        <w:rPr>
          <w:rFonts w:cstheme="minorHAnsi"/>
          <w:sz w:val="28"/>
          <w:szCs w:val="28"/>
        </w:rPr>
        <w:t xml:space="preserve"> </w:t>
      </w:r>
      <w:r w:rsidRPr="00024ABE">
        <w:rPr>
          <w:rFonts w:cstheme="minorHAnsi"/>
          <w:sz w:val="28"/>
          <w:szCs w:val="28"/>
        </w:rPr>
        <w:t>as a guard.</w:t>
      </w:r>
    </w:p>
    <w:p w14:paraId="1ADC49C4" w14:textId="77777777" w:rsidR="00024ABE" w:rsidRPr="00977989" w:rsidRDefault="00024ABE" w:rsidP="00024ABE">
      <w:pPr>
        <w:rPr>
          <w:rFonts w:cstheme="minorHAnsi"/>
          <w:sz w:val="28"/>
          <w:szCs w:val="28"/>
        </w:rPr>
      </w:pPr>
    </w:p>
    <w:p w14:paraId="706352F5" w14:textId="679C19F7" w:rsidR="00977989" w:rsidRPr="00977989" w:rsidRDefault="00024ABE" w:rsidP="00977989">
      <w:pPr>
        <w:rPr>
          <w:rFonts w:cstheme="minorHAnsi"/>
          <w:sz w:val="28"/>
          <w:szCs w:val="28"/>
        </w:rPr>
      </w:pPr>
      <w:r>
        <w:rPr>
          <w:rFonts w:cstheme="minorHAnsi"/>
          <w:sz w:val="28"/>
          <w:szCs w:val="28"/>
        </w:rPr>
        <w:t>Appeal question</w:t>
      </w:r>
      <w:r w:rsidR="00977989" w:rsidRPr="00977989">
        <w:rPr>
          <w:rFonts w:cstheme="minorHAnsi"/>
          <w:sz w:val="28"/>
          <w:szCs w:val="28"/>
        </w:rPr>
        <w:t xml:space="preserve"> requesting a response:</w:t>
      </w:r>
    </w:p>
    <w:p w14:paraId="531BB84F" w14:textId="5DCF9EA2" w:rsidR="00977989" w:rsidRPr="00024ABE" w:rsidRDefault="00024ABE" w:rsidP="00024ABE">
      <w:pPr>
        <w:rPr>
          <w:rFonts w:cstheme="minorHAnsi"/>
          <w:sz w:val="28"/>
          <w:szCs w:val="28"/>
        </w:rPr>
      </w:pPr>
      <w:r w:rsidRPr="00024ABE">
        <w:rPr>
          <w:rFonts w:cstheme="minorHAnsi"/>
          <w:sz w:val="28"/>
          <w:szCs w:val="28"/>
        </w:rPr>
        <w:t>Can the petitioner use planters as per the diagram</w:t>
      </w:r>
      <w:r>
        <w:rPr>
          <w:rFonts w:cstheme="minorHAnsi"/>
          <w:sz w:val="28"/>
          <w:szCs w:val="28"/>
        </w:rPr>
        <w:t>(s)</w:t>
      </w:r>
      <w:r w:rsidRPr="00024ABE">
        <w:rPr>
          <w:rFonts w:cstheme="minorHAnsi"/>
          <w:sz w:val="28"/>
          <w:szCs w:val="28"/>
        </w:rPr>
        <w:t xml:space="preserve"> provided to make adjustments to grade from an open sided walking surface to be 30” or less measured vertically to the floor or grade below at any point within 24” horizontally to the edge of the open side as a means of achieving the necessary elevation as allowed by FBC Section312.1.1 to eliminate the need for guards?  </w:t>
      </w:r>
    </w:p>
    <w:p w14:paraId="47530B49" w14:textId="38EE3133" w:rsidR="00024ABE" w:rsidRPr="00024ABE" w:rsidRDefault="00024ABE" w:rsidP="00024ABE">
      <w:pPr>
        <w:rPr>
          <w:rFonts w:cstheme="minorHAnsi"/>
          <w:b/>
          <w:sz w:val="28"/>
          <w:szCs w:val="28"/>
        </w:rPr>
      </w:pPr>
      <w:r w:rsidRPr="00024ABE">
        <w:rPr>
          <w:rFonts w:cstheme="minorHAnsi"/>
          <w:b/>
          <w:sz w:val="28"/>
          <w:szCs w:val="28"/>
        </w:rPr>
        <w:t>Answer:</w:t>
      </w:r>
    </w:p>
    <w:p w14:paraId="60F1A0A8" w14:textId="02C25A7F" w:rsidR="00977989" w:rsidRDefault="00024ABE" w:rsidP="00977989">
      <w:pPr>
        <w:rPr>
          <w:rFonts w:cstheme="minorHAnsi"/>
          <w:sz w:val="28"/>
          <w:szCs w:val="28"/>
        </w:rPr>
      </w:pPr>
      <w:r>
        <w:rPr>
          <w:rFonts w:cstheme="minorHAnsi"/>
          <w:sz w:val="28"/>
          <w:szCs w:val="28"/>
        </w:rPr>
        <w:t>The Panel made two separate motions to answer the interpretation under appeal.</w:t>
      </w:r>
      <w:r w:rsidR="0096150E">
        <w:rPr>
          <w:rFonts w:cstheme="minorHAnsi"/>
          <w:sz w:val="28"/>
          <w:szCs w:val="28"/>
        </w:rPr>
        <w:t xml:space="preserve"> Based on the two diagrams provided by the petitioner.</w:t>
      </w:r>
    </w:p>
    <w:p w14:paraId="75165FF9" w14:textId="25A558DC" w:rsidR="0096150E" w:rsidRDefault="0096150E" w:rsidP="0096150E">
      <w:pPr>
        <w:pStyle w:val="ListParagraph"/>
        <w:numPr>
          <w:ilvl w:val="0"/>
          <w:numId w:val="4"/>
        </w:numPr>
        <w:rPr>
          <w:rFonts w:cstheme="minorHAnsi"/>
          <w:sz w:val="28"/>
          <w:szCs w:val="28"/>
        </w:rPr>
      </w:pPr>
      <w:r>
        <w:rPr>
          <w:rFonts w:cstheme="minorHAnsi"/>
          <w:sz w:val="28"/>
          <w:szCs w:val="28"/>
        </w:rPr>
        <w:t>Planter option wall section 30 inches or less [above grade below]:</w:t>
      </w:r>
      <w:r w:rsidR="005E25A6">
        <w:rPr>
          <w:rFonts w:cstheme="minorHAnsi"/>
          <w:sz w:val="28"/>
          <w:szCs w:val="28"/>
        </w:rPr>
        <w:t xml:space="preserve"> </w:t>
      </w:r>
      <w:r>
        <w:rPr>
          <w:rFonts w:cstheme="minorHAnsi"/>
          <w:sz w:val="28"/>
          <w:szCs w:val="28"/>
        </w:rPr>
        <w:t xml:space="preserve"> In response to this specific design the Panel passed a motion with a ruling stating that this option does comply with the specific provisions of Section R312.1.1.</w:t>
      </w:r>
    </w:p>
    <w:p w14:paraId="7802F6FD" w14:textId="28576DEB" w:rsidR="0096150E" w:rsidRDefault="0096150E" w:rsidP="0096150E">
      <w:pPr>
        <w:pStyle w:val="ListParagraph"/>
        <w:numPr>
          <w:ilvl w:val="0"/>
          <w:numId w:val="4"/>
        </w:numPr>
        <w:rPr>
          <w:rFonts w:cstheme="minorHAnsi"/>
          <w:sz w:val="28"/>
          <w:szCs w:val="28"/>
        </w:rPr>
      </w:pPr>
      <w:r>
        <w:rPr>
          <w:rFonts w:cstheme="minorHAnsi"/>
          <w:sz w:val="28"/>
          <w:szCs w:val="28"/>
        </w:rPr>
        <w:t xml:space="preserve">Planter option wall section greater than 30 inches [above grade below]: </w:t>
      </w:r>
      <w:r w:rsidR="005E25A6">
        <w:rPr>
          <w:rFonts w:cstheme="minorHAnsi"/>
          <w:sz w:val="28"/>
          <w:szCs w:val="28"/>
        </w:rPr>
        <w:t xml:space="preserve"> </w:t>
      </w:r>
      <w:bookmarkStart w:id="0" w:name="_GoBack"/>
      <w:bookmarkEnd w:id="0"/>
      <w:r>
        <w:rPr>
          <w:rFonts w:cstheme="minorHAnsi"/>
          <w:sz w:val="28"/>
          <w:szCs w:val="28"/>
        </w:rPr>
        <w:t>In response to this specific design the Panel passed a motion with a ruling stating that this option does comply with the specific provisions of Section R312.1.1.</w:t>
      </w:r>
    </w:p>
    <w:p w14:paraId="4B7200DC" w14:textId="67563527" w:rsidR="0096150E" w:rsidRDefault="0096150E" w:rsidP="0096150E">
      <w:pPr>
        <w:pStyle w:val="ListParagraph"/>
        <w:rPr>
          <w:rFonts w:cstheme="minorHAnsi"/>
          <w:sz w:val="28"/>
          <w:szCs w:val="28"/>
        </w:rPr>
      </w:pPr>
    </w:p>
    <w:p w14:paraId="71121889" w14:textId="77777777" w:rsidR="0096150E" w:rsidRPr="0096150E" w:rsidRDefault="0096150E" w:rsidP="0096150E">
      <w:pPr>
        <w:pStyle w:val="ListParagraph"/>
        <w:rPr>
          <w:rFonts w:cstheme="minorHAnsi"/>
          <w:sz w:val="28"/>
          <w:szCs w:val="28"/>
        </w:rPr>
      </w:pPr>
    </w:p>
    <w:p w14:paraId="30AD2659" w14:textId="77777777" w:rsidR="00977989" w:rsidRPr="00977989" w:rsidRDefault="00977989" w:rsidP="00977989">
      <w:pPr>
        <w:rPr>
          <w:rFonts w:cstheme="minorHAnsi"/>
          <w:sz w:val="28"/>
          <w:szCs w:val="28"/>
        </w:rPr>
      </w:pPr>
      <w:r w:rsidRPr="00977989">
        <w:rPr>
          <w:rFonts w:cstheme="minorHAnsi"/>
          <w:sz w:val="28"/>
          <w:szCs w:val="28"/>
        </w:rPr>
        <w:t>Comment:</w:t>
      </w:r>
    </w:p>
    <w:p w14:paraId="7DA4EB96" w14:textId="18739044" w:rsidR="00977989" w:rsidRPr="00977989" w:rsidRDefault="0096150E" w:rsidP="00977989">
      <w:pPr>
        <w:rPr>
          <w:rFonts w:cstheme="minorHAnsi"/>
          <w:sz w:val="28"/>
          <w:szCs w:val="28"/>
        </w:rPr>
      </w:pPr>
      <w:r>
        <w:rPr>
          <w:rFonts w:cstheme="minorHAnsi"/>
          <w:sz w:val="28"/>
          <w:szCs w:val="28"/>
        </w:rPr>
        <w:t>The Panel passed a motion stating that they feel an unsafe condition is created by having a limitation of only 2</w:t>
      </w:r>
      <w:r w:rsidR="005E25A6">
        <w:rPr>
          <w:rFonts w:cstheme="minorHAnsi"/>
          <w:sz w:val="28"/>
          <w:szCs w:val="28"/>
        </w:rPr>
        <w:t>4 inches of any point horizontally to the edge of the open side (of the planter wall) and that the original International Building Code provision which provided a limitation of only 36 inches should be considered for code adoption by the Florida Building Commission.</w:t>
      </w:r>
    </w:p>
    <w:p w14:paraId="3AEECFBB" w14:textId="77777777" w:rsidR="00977989" w:rsidRPr="00977989" w:rsidRDefault="00977989" w:rsidP="00977989">
      <w:pPr>
        <w:rPr>
          <w:rFonts w:cstheme="minorHAnsi"/>
          <w:sz w:val="28"/>
          <w:szCs w:val="28"/>
        </w:rPr>
      </w:pPr>
    </w:p>
    <w:p w14:paraId="0D549FEB" w14:textId="77777777" w:rsidR="00977989" w:rsidRPr="00977989" w:rsidRDefault="00977989" w:rsidP="00977989">
      <w:pPr>
        <w:rPr>
          <w:rFonts w:cstheme="minorHAnsi"/>
          <w:sz w:val="28"/>
          <w:szCs w:val="28"/>
        </w:rPr>
      </w:pPr>
    </w:p>
    <w:p w14:paraId="0089EAB4" w14:textId="77777777" w:rsidR="00FF153A" w:rsidRPr="00977989" w:rsidRDefault="00FF153A" w:rsidP="00CB2E4B">
      <w:pPr>
        <w:rPr>
          <w:rFonts w:cstheme="minorHAnsi"/>
          <w:sz w:val="28"/>
          <w:szCs w:val="28"/>
        </w:rPr>
      </w:pPr>
    </w:p>
    <w:p w14:paraId="45FDA49A" w14:textId="77777777" w:rsidR="00FF153A" w:rsidRPr="00977989" w:rsidRDefault="00FF153A" w:rsidP="00FF153A">
      <w:pPr>
        <w:rPr>
          <w:rFonts w:cstheme="minorHAnsi"/>
          <w:sz w:val="20"/>
          <w:szCs w:val="20"/>
        </w:rPr>
      </w:pPr>
      <w:r w:rsidRPr="00977989">
        <w:rPr>
          <w:rFonts w:cstheme="minorHAnsi"/>
          <w:sz w:val="20"/>
          <w:szCs w:val="20"/>
        </w:rPr>
        <w:t>NOTICE:</w:t>
      </w:r>
    </w:p>
    <w:p w14:paraId="2EA07E0A" w14:textId="77777777" w:rsidR="00FF153A" w:rsidRPr="00977989" w:rsidRDefault="00FF153A" w:rsidP="00FF153A">
      <w:pPr>
        <w:rPr>
          <w:rFonts w:cstheme="minorHAnsi"/>
          <w:sz w:val="20"/>
          <w:szCs w:val="20"/>
        </w:rPr>
      </w:pPr>
      <w:r w:rsidRPr="00977989">
        <w:rPr>
          <w:rFonts w:cstheme="minorHAnsi"/>
          <w:sz w:val="20"/>
          <w:szCs w:val="20"/>
        </w:rPr>
        <w:t xml:space="preserve">The Building Officials Association of Florida, in cooperation with the Florida Building Commission, and the Florida Department of Business &amp; Professional Regulation, provides this interpretation of the Florida Building Code in the interest of consistency and application of the Building Code statewide. This interpretation is binding and not subject to acceptance and approval by the local building official. </w:t>
      </w:r>
    </w:p>
    <w:p w14:paraId="5E101F9F" w14:textId="77777777" w:rsidR="00FF153A" w:rsidRPr="00977989" w:rsidRDefault="00FF153A" w:rsidP="00CB2E4B">
      <w:pPr>
        <w:rPr>
          <w:rFonts w:cstheme="minorHAnsi"/>
          <w:b/>
          <w:sz w:val="28"/>
          <w:szCs w:val="28"/>
        </w:rPr>
      </w:pPr>
    </w:p>
    <w:sectPr w:rsidR="00FF153A" w:rsidRPr="00977989" w:rsidSect="00CB2E4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29651" w14:textId="77777777" w:rsidR="00025C90" w:rsidRDefault="00025C90" w:rsidP="00977989">
      <w:pPr>
        <w:spacing w:after="0" w:line="240" w:lineRule="auto"/>
      </w:pPr>
      <w:r>
        <w:separator/>
      </w:r>
    </w:p>
  </w:endnote>
  <w:endnote w:type="continuationSeparator" w:id="0">
    <w:p w14:paraId="2EC3BFC7" w14:textId="77777777" w:rsidR="00025C90" w:rsidRDefault="00025C90" w:rsidP="00977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405764"/>
      <w:docPartObj>
        <w:docPartGallery w:val="Page Numbers (Bottom of Page)"/>
        <w:docPartUnique/>
      </w:docPartObj>
    </w:sdtPr>
    <w:sdtEndPr>
      <w:rPr>
        <w:noProof/>
      </w:rPr>
    </w:sdtEndPr>
    <w:sdtContent>
      <w:p w14:paraId="51893E42" w14:textId="168FB8EA" w:rsidR="00977989" w:rsidRDefault="00977989">
        <w:pPr>
          <w:pStyle w:val="Footer"/>
          <w:jc w:val="center"/>
        </w:pPr>
        <w:r>
          <w:fldChar w:fldCharType="begin"/>
        </w:r>
        <w:r>
          <w:instrText xml:space="preserve"> PAGE   \* MERGEFORMAT </w:instrText>
        </w:r>
        <w:r>
          <w:fldChar w:fldCharType="separate"/>
        </w:r>
        <w:r w:rsidR="005E25A6">
          <w:rPr>
            <w:noProof/>
          </w:rPr>
          <w:t>2</w:t>
        </w:r>
        <w:r>
          <w:rPr>
            <w:noProof/>
          </w:rPr>
          <w:fldChar w:fldCharType="end"/>
        </w:r>
        <w:r>
          <w:rPr>
            <w:noProof/>
          </w:rPr>
          <w:t xml:space="preserve"> of 2</w:t>
        </w:r>
      </w:p>
    </w:sdtContent>
  </w:sdt>
  <w:p w14:paraId="3DED4591" w14:textId="77777777" w:rsidR="00977989" w:rsidRDefault="00977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A4739" w14:textId="77777777" w:rsidR="00025C90" w:rsidRDefault="00025C90" w:rsidP="00977989">
      <w:pPr>
        <w:spacing w:after="0" w:line="240" w:lineRule="auto"/>
      </w:pPr>
      <w:r>
        <w:separator/>
      </w:r>
    </w:p>
  </w:footnote>
  <w:footnote w:type="continuationSeparator" w:id="0">
    <w:p w14:paraId="0193D742" w14:textId="77777777" w:rsidR="00025C90" w:rsidRDefault="00025C90" w:rsidP="00977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4E54"/>
    <w:multiLevelType w:val="hybridMultilevel"/>
    <w:tmpl w:val="75326F4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284C361D"/>
    <w:multiLevelType w:val="multilevel"/>
    <w:tmpl w:val="67E07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C371E8"/>
    <w:multiLevelType w:val="hybridMultilevel"/>
    <w:tmpl w:val="43601A26"/>
    <w:lvl w:ilvl="0" w:tplc="160C218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C43C01"/>
    <w:multiLevelType w:val="hybridMultilevel"/>
    <w:tmpl w:val="8DD0FD40"/>
    <w:lvl w:ilvl="0" w:tplc="FEEA0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4B"/>
    <w:rsid w:val="00021ACF"/>
    <w:rsid w:val="00024ABE"/>
    <w:rsid w:val="00025C90"/>
    <w:rsid w:val="00033E7D"/>
    <w:rsid w:val="00060E7F"/>
    <w:rsid w:val="000870C1"/>
    <w:rsid w:val="001941CA"/>
    <w:rsid w:val="00196162"/>
    <w:rsid w:val="002939B0"/>
    <w:rsid w:val="00305080"/>
    <w:rsid w:val="005804D4"/>
    <w:rsid w:val="005E25A6"/>
    <w:rsid w:val="00862534"/>
    <w:rsid w:val="0096150E"/>
    <w:rsid w:val="00977989"/>
    <w:rsid w:val="009B64BB"/>
    <w:rsid w:val="009C0994"/>
    <w:rsid w:val="00AB69B9"/>
    <w:rsid w:val="00B67F7D"/>
    <w:rsid w:val="00C53D74"/>
    <w:rsid w:val="00CB2E4B"/>
    <w:rsid w:val="00DD1C1A"/>
    <w:rsid w:val="00E46972"/>
    <w:rsid w:val="00F32220"/>
    <w:rsid w:val="00F85C99"/>
    <w:rsid w:val="00FB426A"/>
    <w:rsid w:val="00FF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5E38"/>
  <w15:chartTrackingRefBased/>
  <w15:docId w15:val="{99789E07-4D3F-4290-A0ED-63085302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989"/>
    <w:pPr>
      <w:spacing w:after="0" w:line="240" w:lineRule="auto"/>
      <w:ind w:left="720"/>
    </w:pPr>
    <w:rPr>
      <w:rFonts w:ascii="Calibri" w:hAnsi="Calibri" w:cs="Calibri"/>
    </w:rPr>
  </w:style>
  <w:style w:type="paragraph" w:styleId="Header">
    <w:name w:val="header"/>
    <w:basedOn w:val="Normal"/>
    <w:link w:val="HeaderChar"/>
    <w:uiPriority w:val="99"/>
    <w:unhideWhenUsed/>
    <w:rsid w:val="00977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989"/>
  </w:style>
  <w:style w:type="paragraph" w:styleId="Footer">
    <w:name w:val="footer"/>
    <w:basedOn w:val="Normal"/>
    <w:link w:val="FooterChar"/>
    <w:uiPriority w:val="99"/>
    <w:unhideWhenUsed/>
    <w:rsid w:val="00977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Russo</dc:creator>
  <cp:keywords/>
  <dc:description/>
  <cp:lastModifiedBy>George  Wiggins</cp:lastModifiedBy>
  <cp:revision>4</cp:revision>
  <dcterms:created xsi:type="dcterms:W3CDTF">2020-01-22T20:04:00Z</dcterms:created>
  <dcterms:modified xsi:type="dcterms:W3CDTF">2020-01-22T20:54:00Z</dcterms:modified>
</cp:coreProperties>
</file>