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518" w:type="dxa"/>
        <w:tblLook w:val="04A0" w:firstRow="1" w:lastRow="0" w:firstColumn="1" w:lastColumn="0" w:noHBand="0" w:noVBand="1"/>
      </w:tblPr>
      <w:tblGrid>
        <w:gridCol w:w="1843"/>
        <w:gridCol w:w="1865"/>
        <w:gridCol w:w="7560"/>
        <w:gridCol w:w="2250"/>
      </w:tblGrid>
      <w:tr w:rsidR="00156DFF" w:rsidTr="00156DFF">
        <w:tc>
          <w:tcPr>
            <w:tcW w:w="13518" w:type="dxa"/>
            <w:gridSpan w:val="4"/>
          </w:tcPr>
          <w:p w:rsidR="00156DFF" w:rsidRDefault="006511C8" w:rsidP="00156DFF">
            <w:pPr>
              <w:jc w:val="center"/>
              <w:rPr>
                <w:b/>
                <w:sz w:val="32"/>
                <w:szCs w:val="32"/>
              </w:rPr>
            </w:pPr>
            <w:r>
              <w:rPr>
                <w:b/>
                <w:sz w:val="32"/>
                <w:szCs w:val="32"/>
              </w:rPr>
              <w:t>SWIMMING POOL</w:t>
            </w:r>
          </w:p>
          <w:p w:rsidR="00156DFF" w:rsidRDefault="00156DFF" w:rsidP="00156DFF">
            <w:pPr>
              <w:jc w:val="center"/>
              <w:rPr>
                <w:sz w:val="20"/>
                <w:szCs w:val="20"/>
              </w:rPr>
            </w:pPr>
            <w:r>
              <w:rPr>
                <w:sz w:val="20"/>
                <w:szCs w:val="20"/>
              </w:rPr>
              <w:t xml:space="preserve">TAC ACTION VOTES </w:t>
            </w:r>
          </w:p>
          <w:p w:rsidR="00156DFF" w:rsidRDefault="00156DFF" w:rsidP="00156DFF">
            <w:pPr>
              <w:jc w:val="center"/>
              <w:rPr>
                <w:sz w:val="20"/>
                <w:szCs w:val="20"/>
              </w:rPr>
            </w:pPr>
            <w:r>
              <w:rPr>
                <w:sz w:val="20"/>
                <w:szCs w:val="20"/>
              </w:rPr>
              <w:t>Local Technical Amendments to the</w:t>
            </w:r>
          </w:p>
          <w:p w:rsidR="00156DFF" w:rsidRPr="00156DFF" w:rsidRDefault="00156DFF" w:rsidP="00156DFF">
            <w:pPr>
              <w:jc w:val="center"/>
              <w:rPr>
                <w:sz w:val="20"/>
                <w:szCs w:val="20"/>
              </w:rPr>
            </w:pPr>
            <w:r>
              <w:rPr>
                <w:sz w:val="20"/>
                <w:szCs w:val="20"/>
              </w:rPr>
              <w:t>2020 7</w:t>
            </w:r>
            <w:r w:rsidRPr="00156DFF">
              <w:rPr>
                <w:sz w:val="20"/>
                <w:szCs w:val="20"/>
                <w:vertAlign w:val="superscript"/>
              </w:rPr>
              <w:t>th</w:t>
            </w:r>
            <w:r>
              <w:rPr>
                <w:sz w:val="20"/>
                <w:szCs w:val="20"/>
              </w:rPr>
              <w:t xml:space="preserve"> Edition Florida Building Code</w:t>
            </w:r>
          </w:p>
        </w:tc>
      </w:tr>
      <w:tr w:rsidR="00156DFF" w:rsidTr="00156DFF">
        <w:tc>
          <w:tcPr>
            <w:tcW w:w="1843" w:type="dxa"/>
            <w:shd w:val="clear" w:color="auto" w:fill="A6A6A6" w:themeFill="background1" w:themeFillShade="A6"/>
          </w:tcPr>
          <w:p w:rsidR="00156DFF" w:rsidRDefault="00156DFF"/>
        </w:tc>
        <w:tc>
          <w:tcPr>
            <w:tcW w:w="1865" w:type="dxa"/>
            <w:shd w:val="clear" w:color="auto" w:fill="A6A6A6" w:themeFill="background1" w:themeFillShade="A6"/>
          </w:tcPr>
          <w:p w:rsidR="00156DFF" w:rsidRDefault="00156DFF"/>
        </w:tc>
        <w:tc>
          <w:tcPr>
            <w:tcW w:w="7560" w:type="dxa"/>
            <w:shd w:val="clear" w:color="auto" w:fill="A6A6A6" w:themeFill="background1" w:themeFillShade="A6"/>
          </w:tcPr>
          <w:p w:rsidR="00156DFF" w:rsidRDefault="00156DFF"/>
        </w:tc>
        <w:tc>
          <w:tcPr>
            <w:tcW w:w="2250" w:type="dxa"/>
            <w:shd w:val="clear" w:color="auto" w:fill="A6A6A6" w:themeFill="background1" w:themeFillShade="A6"/>
          </w:tcPr>
          <w:p w:rsidR="00156DFF" w:rsidRDefault="00156DFF"/>
        </w:tc>
      </w:tr>
      <w:tr w:rsidR="00156DFF" w:rsidTr="00156DFF">
        <w:tc>
          <w:tcPr>
            <w:tcW w:w="1843" w:type="dxa"/>
            <w:vAlign w:val="center"/>
          </w:tcPr>
          <w:p w:rsidR="00156DFF" w:rsidRPr="00156DFF" w:rsidRDefault="00156DFF" w:rsidP="00156DFF">
            <w:pPr>
              <w:jc w:val="center"/>
              <w:rPr>
                <w:b/>
                <w:sz w:val="28"/>
                <w:szCs w:val="28"/>
              </w:rPr>
            </w:pPr>
            <w:r>
              <w:rPr>
                <w:b/>
                <w:sz w:val="28"/>
                <w:szCs w:val="28"/>
              </w:rPr>
              <w:t>JURISDICTION</w:t>
            </w:r>
          </w:p>
        </w:tc>
        <w:tc>
          <w:tcPr>
            <w:tcW w:w="1865" w:type="dxa"/>
            <w:vAlign w:val="center"/>
          </w:tcPr>
          <w:p w:rsidR="00156DFF" w:rsidRDefault="00156DFF" w:rsidP="00156DFF">
            <w:pPr>
              <w:jc w:val="center"/>
              <w:rPr>
                <w:b/>
                <w:sz w:val="28"/>
                <w:szCs w:val="28"/>
              </w:rPr>
            </w:pPr>
            <w:r>
              <w:rPr>
                <w:b/>
                <w:sz w:val="28"/>
                <w:szCs w:val="28"/>
              </w:rPr>
              <w:t>DOCUMENT with</w:t>
            </w:r>
          </w:p>
          <w:p w:rsidR="00156DFF" w:rsidRPr="00156DFF" w:rsidRDefault="00156DFF" w:rsidP="00156DFF">
            <w:pPr>
              <w:jc w:val="center"/>
              <w:rPr>
                <w:b/>
                <w:sz w:val="28"/>
                <w:szCs w:val="28"/>
              </w:rPr>
            </w:pPr>
            <w:r>
              <w:rPr>
                <w:b/>
                <w:sz w:val="28"/>
                <w:szCs w:val="28"/>
              </w:rPr>
              <w:t>TECHNICAL AMENDMENT</w:t>
            </w:r>
          </w:p>
        </w:tc>
        <w:tc>
          <w:tcPr>
            <w:tcW w:w="7560" w:type="dxa"/>
            <w:vAlign w:val="center"/>
          </w:tcPr>
          <w:p w:rsidR="00156DFF" w:rsidRPr="00156DFF" w:rsidRDefault="002D278C" w:rsidP="00156DFF">
            <w:pPr>
              <w:jc w:val="center"/>
              <w:rPr>
                <w:b/>
                <w:sz w:val="28"/>
                <w:szCs w:val="28"/>
              </w:rPr>
            </w:pPr>
            <w:r>
              <w:rPr>
                <w:b/>
                <w:sz w:val="28"/>
                <w:szCs w:val="28"/>
              </w:rPr>
              <w:t>SUMMARY</w:t>
            </w:r>
            <w:r w:rsidR="00156DFF">
              <w:rPr>
                <w:b/>
                <w:sz w:val="28"/>
                <w:szCs w:val="28"/>
              </w:rPr>
              <w:t xml:space="preserve"> OF TECHNICAL AMENDMENT</w:t>
            </w:r>
          </w:p>
        </w:tc>
        <w:tc>
          <w:tcPr>
            <w:tcW w:w="2250" w:type="dxa"/>
            <w:vAlign w:val="center"/>
          </w:tcPr>
          <w:p w:rsidR="00156DFF" w:rsidRPr="00156DFF" w:rsidRDefault="00156DFF" w:rsidP="00156DFF">
            <w:pPr>
              <w:jc w:val="center"/>
              <w:rPr>
                <w:b/>
                <w:sz w:val="28"/>
                <w:szCs w:val="28"/>
              </w:rPr>
            </w:pPr>
            <w:r>
              <w:rPr>
                <w:b/>
                <w:sz w:val="28"/>
                <w:szCs w:val="28"/>
              </w:rPr>
              <w:t>TAC ACTION</w:t>
            </w:r>
          </w:p>
        </w:tc>
      </w:tr>
      <w:tr w:rsidR="00156DFF" w:rsidTr="00156DFF">
        <w:tc>
          <w:tcPr>
            <w:tcW w:w="1843" w:type="dxa"/>
            <w:shd w:val="clear" w:color="auto" w:fill="BFBFBF" w:themeFill="background1" w:themeFillShade="BF"/>
          </w:tcPr>
          <w:p w:rsidR="00156DFF" w:rsidRDefault="00156DFF"/>
        </w:tc>
        <w:tc>
          <w:tcPr>
            <w:tcW w:w="1865" w:type="dxa"/>
            <w:shd w:val="clear" w:color="auto" w:fill="BFBFBF" w:themeFill="background1" w:themeFillShade="BF"/>
          </w:tcPr>
          <w:p w:rsidR="00156DFF" w:rsidRDefault="00156DFF"/>
        </w:tc>
        <w:tc>
          <w:tcPr>
            <w:tcW w:w="7560" w:type="dxa"/>
            <w:shd w:val="clear" w:color="auto" w:fill="BFBFBF" w:themeFill="background1" w:themeFillShade="BF"/>
          </w:tcPr>
          <w:p w:rsidR="00156DFF" w:rsidRDefault="00156DFF"/>
        </w:tc>
        <w:tc>
          <w:tcPr>
            <w:tcW w:w="2250" w:type="dxa"/>
            <w:shd w:val="clear" w:color="auto" w:fill="BFBFBF" w:themeFill="background1" w:themeFillShade="BF"/>
          </w:tcPr>
          <w:p w:rsidR="00156DFF" w:rsidRDefault="00156DFF"/>
        </w:tc>
      </w:tr>
      <w:tr w:rsidR="00156DFF" w:rsidTr="00156DFF">
        <w:trPr>
          <w:trHeight w:val="350"/>
        </w:trPr>
        <w:tc>
          <w:tcPr>
            <w:tcW w:w="1843" w:type="dxa"/>
            <w:vAlign w:val="center"/>
          </w:tcPr>
          <w:p w:rsidR="00156DFF" w:rsidRDefault="006511C8" w:rsidP="00156DFF">
            <w:pPr>
              <w:jc w:val="center"/>
            </w:pPr>
            <w:r>
              <w:t>County of Broward</w:t>
            </w:r>
          </w:p>
        </w:tc>
        <w:tc>
          <w:tcPr>
            <w:tcW w:w="1865" w:type="dxa"/>
            <w:vAlign w:val="center"/>
          </w:tcPr>
          <w:p w:rsidR="00156DFF" w:rsidRDefault="00156DFF" w:rsidP="00156DFF">
            <w:pPr>
              <w:jc w:val="center"/>
            </w:pPr>
            <w:r>
              <w:t>FBC – Building</w:t>
            </w:r>
          </w:p>
          <w:p w:rsidR="00156DFF" w:rsidRDefault="006511C8" w:rsidP="00156DFF">
            <w:pPr>
              <w:jc w:val="center"/>
            </w:pPr>
            <w:r>
              <w:t>Ch</w:t>
            </w:r>
            <w:r w:rsidR="00AF0A7B">
              <w:t>.</w:t>
            </w:r>
            <w:r>
              <w:t xml:space="preserve"> 4</w:t>
            </w:r>
          </w:p>
          <w:p w:rsidR="006511C8" w:rsidRDefault="006511C8" w:rsidP="00156DFF">
            <w:pPr>
              <w:jc w:val="center"/>
            </w:pPr>
            <w:r>
              <w:t>Sec 454.1.4.1</w:t>
            </w:r>
          </w:p>
          <w:p w:rsidR="006511C8" w:rsidRDefault="006511C8" w:rsidP="00156DFF">
            <w:pPr>
              <w:jc w:val="center"/>
            </w:pPr>
            <w:r>
              <w:t>and</w:t>
            </w:r>
          </w:p>
          <w:p w:rsidR="006511C8" w:rsidRDefault="006511C8" w:rsidP="00156DFF">
            <w:pPr>
              <w:jc w:val="center"/>
            </w:pPr>
            <w:r>
              <w:t>Sec 454.2.16</w:t>
            </w:r>
          </w:p>
          <w:p w:rsidR="00FA1A00" w:rsidRDefault="00FA1A00" w:rsidP="00156DFF">
            <w:pPr>
              <w:jc w:val="center"/>
            </w:pPr>
            <w:r>
              <w:t>FBC-Residential</w:t>
            </w:r>
          </w:p>
          <w:p w:rsidR="00FA1A00" w:rsidRDefault="00FA1A00" w:rsidP="00156DFF">
            <w:pPr>
              <w:jc w:val="center"/>
            </w:pPr>
            <w:r>
              <w:t>Sec R4501.16</w:t>
            </w:r>
          </w:p>
        </w:tc>
        <w:tc>
          <w:tcPr>
            <w:tcW w:w="7560" w:type="dxa"/>
            <w:vAlign w:val="center"/>
          </w:tcPr>
          <w:p w:rsidR="006511C8" w:rsidRDefault="00AF0A7B" w:rsidP="006511C8">
            <w:pPr>
              <w:autoSpaceDE w:val="0"/>
              <w:autoSpaceDN w:val="0"/>
              <w:adjustRightInd w:val="0"/>
              <w:rPr>
                <w:rFonts w:ascii="ArialMT" w:hAnsi="ArialMT" w:cs="ArialMT"/>
                <w:sz w:val="20"/>
                <w:szCs w:val="20"/>
              </w:rPr>
            </w:pPr>
            <w:r>
              <w:rPr>
                <w:rFonts w:ascii="ArialMT" w:hAnsi="ArialMT" w:cs="ArialMT"/>
                <w:sz w:val="20"/>
                <w:szCs w:val="20"/>
              </w:rPr>
              <w:t xml:space="preserve">Section 454.1.4.1 – Local amendment to require all swimming pool lighting fixtures to be low </w:t>
            </w:r>
            <w:r w:rsidR="00F53294">
              <w:rPr>
                <w:rFonts w:ascii="ArialMT" w:hAnsi="ArialMT" w:cs="ArialMT"/>
                <w:sz w:val="20"/>
                <w:szCs w:val="20"/>
              </w:rPr>
              <w:t>voltage (</w:t>
            </w:r>
            <w:r>
              <w:rPr>
                <w:rFonts w:ascii="ArialMT" w:hAnsi="ArialMT" w:cs="ArialMT"/>
                <w:sz w:val="20"/>
                <w:szCs w:val="20"/>
              </w:rPr>
              <w:t>15 Volts or less) RMS for sinusoidal alternating current.</w:t>
            </w:r>
          </w:p>
          <w:p w:rsidR="00156DFF" w:rsidRDefault="00156DFF" w:rsidP="006511C8">
            <w:pPr>
              <w:autoSpaceDE w:val="0"/>
              <w:autoSpaceDN w:val="0"/>
              <w:adjustRightInd w:val="0"/>
            </w:pPr>
          </w:p>
          <w:p w:rsidR="00AF0A7B" w:rsidRDefault="00AF0A7B" w:rsidP="00AF0A7B">
            <w:pPr>
              <w:autoSpaceDE w:val="0"/>
              <w:autoSpaceDN w:val="0"/>
              <w:adjustRightInd w:val="0"/>
              <w:rPr>
                <w:rFonts w:ascii="ArialMT" w:hAnsi="ArialMT" w:cs="ArialMT"/>
                <w:sz w:val="20"/>
                <w:szCs w:val="20"/>
              </w:rPr>
            </w:pPr>
            <w:r>
              <w:t>Section 454.2.16</w:t>
            </w:r>
            <w:r w:rsidR="00FA1A00">
              <w:t>/R4501.16</w:t>
            </w:r>
            <w:r>
              <w:t xml:space="preserve"> – </w:t>
            </w:r>
            <w:r>
              <w:rPr>
                <w:rFonts w:ascii="ArialMT" w:hAnsi="ArialMT" w:cs="ArialMT"/>
                <w:sz w:val="20"/>
                <w:szCs w:val="20"/>
              </w:rPr>
              <w:t>Local amendment to require all swimming pool lighting fixtures to be low voltage (15 Volts or less) RMS for sinusoidal alternating current.</w:t>
            </w:r>
          </w:p>
          <w:p w:rsidR="00AF0A7B" w:rsidRDefault="00AF0A7B" w:rsidP="00AF0A7B">
            <w:pPr>
              <w:autoSpaceDE w:val="0"/>
              <w:autoSpaceDN w:val="0"/>
              <w:adjustRightInd w:val="0"/>
            </w:pPr>
          </w:p>
          <w:p w:rsidR="00AF0A7B" w:rsidRDefault="00AF0A7B" w:rsidP="00AF0A7B">
            <w:pPr>
              <w:autoSpaceDE w:val="0"/>
              <w:autoSpaceDN w:val="0"/>
              <w:adjustRightInd w:val="0"/>
            </w:pPr>
          </w:p>
        </w:tc>
        <w:tc>
          <w:tcPr>
            <w:tcW w:w="2250" w:type="dxa"/>
            <w:vAlign w:val="center"/>
          </w:tcPr>
          <w:p w:rsidR="00D53F30" w:rsidRDefault="00D53F30" w:rsidP="00156DFF">
            <w:pPr>
              <w:jc w:val="center"/>
              <w:rPr>
                <w:b/>
              </w:rPr>
            </w:pPr>
            <w:proofErr w:type="spellStart"/>
            <w:r>
              <w:rPr>
                <w:b/>
              </w:rPr>
              <w:t>Batts</w:t>
            </w:r>
            <w:proofErr w:type="spellEnd"/>
            <w:r>
              <w:rPr>
                <w:b/>
              </w:rPr>
              <w:t xml:space="preserve"> to Deny  2</w:t>
            </w:r>
            <w:r w:rsidRPr="00D53F30">
              <w:rPr>
                <w:b/>
                <w:vertAlign w:val="superscript"/>
              </w:rPr>
              <w:t>nd</w:t>
            </w:r>
            <w:r>
              <w:rPr>
                <w:b/>
              </w:rPr>
              <w:t xml:space="preserve"> </w:t>
            </w:r>
            <w:proofErr w:type="spellStart"/>
            <w:r>
              <w:rPr>
                <w:b/>
              </w:rPr>
              <w:t>Guerasio</w:t>
            </w:r>
            <w:proofErr w:type="spellEnd"/>
          </w:p>
          <w:p w:rsidR="00156DFF" w:rsidRDefault="00D53F30" w:rsidP="00156DFF">
            <w:pPr>
              <w:jc w:val="center"/>
              <w:rPr>
                <w:b/>
              </w:rPr>
            </w:pPr>
            <w:r>
              <w:rPr>
                <w:b/>
              </w:rPr>
              <w:t xml:space="preserve">  </w:t>
            </w:r>
            <w:r w:rsidR="00156DFF" w:rsidRPr="00D53F30">
              <w:rPr>
                <w:b/>
              </w:rPr>
              <w:t>VOTE:</w:t>
            </w:r>
            <w:r>
              <w:rPr>
                <w:b/>
              </w:rPr>
              <w:t xml:space="preserve">  8 yes – 1 No</w:t>
            </w:r>
          </w:p>
          <w:p w:rsidR="00D53F30" w:rsidRPr="00D53F30" w:rsidRDefault="00D53F30" w:rsidP="00156DFF">
            <w:pPr>
              <w:jc w:val="center"/>
              <w:rPr>
                <w:b/>
              </w:rPr>
            </w:pPr>
            <w:r>
              <w:rPr>
                <w:b/>
              </w:rPr>
              <w:t>Passes</w:t>
            </w:r>
          </w:p>
        </w:tc>
      </w:tr>
      <w:tr w:rsidR="00156DFF" w:rsidTr="00156DFF">
        <w:tc>
          <w:tcPr>
            <w:tcW w:w="1843" w:type="dxa"/>
            <w:shd w:val="clear" w:color="auto" w:fill="BFBFBF" w:themeFill="background1" w:themeFillShade="BF"/>
          </w:tcPr>
          <w:p w:rsidR="00156DFF" w:rsidRDefault="00156DFF"/>
        </w:tc>
        <w:tc>
          <w:tcPr>
            <w:tcW w:w="1865" w:type="dxa"/>
            <w:shd w:val="clear" w:color="auto" w:fill="BFBFBF" w:themeFill="background1" w:themeFillShade="BF"/>
          </w:tcPr>
          <w:p w:rsidR="00156DFF" w:rsidRDefault="00156DFF"/>
        </w:tc>
        <w:tc>
          <w:tcPr>
            <w:tcW w:w="7560" w:type="dxa"/>
            <w:shd w:val="clear" w:color="auto" w:fill="BFBFBF" w:themeFill="background1" w:themeFillShade="BF"/>
          </w:tcPr>
          <w:p w:rsidR="00156DFF" w:rsidRDefault="00156DFF"/>
        </w:tc>
        <w:tc>
          <w:tcPr>
            <w:tcW w:w="2250" w:type="dxa"/>
            <w:shd w:val="clear" w:color="auto" w:fill="BFBFBF" w:themeFill="background1" w:themeFillShade="BF"/>
          </w:tcPr>
          <w:p w:rsidR="00156DFF" w:rsidRDefault="00156DFF"/>
        </w:tc>
      </w:tr>
      <w:tr w:rsidR="00156DFF" w:rsidTr="00F64C8C">
        <w:tc>
          <w:tcPr>
            <w:tcW w:w="1843" w:type="dxa"/>
            <w:vAlign w:val="center"/>
          </w:tcPr>
          <w:p w:rsidR="006511C8" w:rsidRDefault="006511C8" w:rsidP="00F64C8C">
            <w:pPr>
              <w:jc w:val="center"/>
            </w:pPr>
            <w:r>
              <w:t xml:space="preserve">County of </w:t>
            </w:r>
          </w:p>
          <w:p w:rsidR="00156DFF" w:rsidRDefault="006511C8" w:rsidP="00F64C8C">
            <w:pPr>
              <w:jc w:val="center"/>
            </w:pPr>
            <w:r>
              <w:t>Miami-Dade</w:t>
            </w:r>
          </w:p>
        </w:tc>
        <w:tc>
          <w:tcPr>
            <w:tcW w:w="1865" w:type="dxa"/>
            <w:vAlign w:val="center"/>
          </w:tcPr>
          <w:p w:rsidR="002028C9" w:rsidRDefault="002028C9" w:rsidP="002028C9">
            <w:pPr>
              <w:jc w:val="center"/>
            </w:pPr>
            <w:r>
              <w:t>FBC – Building</w:t>
            </w:r>
          </w:p>
          <w:p w:rsidR="002028C9" w:rsidRDefault="002028C9" w:rsidP="002028C9">
            <w:pPr>
              <w:jc w:val="center"/>
            </w:pPr>
            <w:r>
              <w:t>Ch. 4</w:t>
            </w:r>
          </w:p>
          <w:p w:rsidR="002028C9" w:rsidRDefault="002028C9" w:rsidP="002028C9">
            <w:pPr>
              <w:jc w:val="center"/>
            </w:pPr>
            <w:r>
              <w:t>Sec 454.1.4.1</w:t>
            </w:r>
          </w:p>
          <w:p w:rsidR="002028C9" w:rsidRDefault="002028C9" w:rsidP="002028C9">
            <w:pPr>
              <w:jc w:val="center"/>
            </w:pPr>
            <w:r>
              <w:t>Sec 454.1.10.4.1</w:t>
            </w:r>
          </w:p>
          <w:p w:rsidR="002028C9" w:rsidRDefault="002028C9" w:rsidP="002028C9">
            <w:pPr>
              <w:jc w:val="center"/>
            </w:pPr>
            <w:r>
              <w:t>and</w:t>
            </w:r>
          </w:p>
          <w:p w:rsidR="002028C9" w:rsidRDefault="002028C9" w:rsidP="002028C9">
            <w:pPr>
              <w:jc w:val="center"/>
            </w:pPr>
            <w:r>
              <w:t>Sec 454.2.16</w:t>
            </w:r>
          </w:p>
          <w:p w:rsidR="00F64C8C" w:rsidRDefault="00EC722E" w:rsidP="00F64C8C">
            <w:pPr>
              <w:jc w:val="center"/>
            </w:pPr>
            <w:r>
              <w:t xml:space="preserve">FBC – Residential </w:t>
            </w:r>
          </w:p>
          <w:p w:rsidR="006511C8" w:rsidRDefault="00EC722E" w:rsidP="00F64C8C">
            <w:pPr>
              <w:jc w:val="center"/>
            </w:pPr>
            <w:r>
              <w:t>Sec R</w:t>
            </w:r>
            <w:r w:rsidR="006511C8">
              <w:t>4501.16</w:t>
            </w:r>
          </w:p>
        </w:tc>
        <w:tc>
          <w:tcPr>
            <w:tcW w:w="7560" w:type="dxa"/>
            <w:vAlign w:val="center"/>
          </w:tcPr>
          <w:p w:rsidR="00156DFF" w:rsidRDefault="002028C9" w:rsidP="002028C9">
            <w:pPr>
              <w:autoSpaceDE w:val="0"/>
              <w:autoSpaceDN w:val="0"/>
              <w:adjustRightInd w:val="0"/>
            </w:pPr>
            <w:r>
              <w:rPr>
                <w:rFonts w:ascii="ArialMT" w:hAnsi="ArialMT" w:cs="ArialMT"/>
                <w:sz w:val="20"/>
                <w:szCs w:val="20"/>
              </w:rPr>
              <w:t>Local amendments to require low voltage lighting in newly built private swimming or recreational bathing pools that have underwater lighting installed, and in existing private pools with underwater lighting when permitted construction work is done after the initial construction.</w:t>
            </w:r>
          </w:p>
        </w:tc>
        <w:tc>
          <w:tcPr>
            <w:tcW w:w="2250" w:type="dxa"/>
            <w:vAlign w:val="center"/>
          </w:tcPr>
          <w:p w:rsidR="00D53F30" w:rsidRPr="00D53F30" w:rsidRDefault="00D53F30" w:rsidP="00F64C8C">
            <w:pPr>
              <w:jc w:val="center"/>
              <w:rPr>
                <w:b/>
              </w:rPr>
            </w:pPr>
            <w:proofErr w:type="spellStart"/>
            <w:r w:rsidRPr="00D53F30">
              <w:rPr>
                <w:b/>
              </w:rPr>
              <w:t>Batts</w:t>
            </w:r>
            <w:proofErr w:type="spellEnd"/>
            <w:r w:rsidRPr="00D53F30">
              <w:rPr>
                <w:b/>
              </w:rPr>
              <w:t xml:space="preserve"> to Deny  2</w:t>
            </w:r>
            <w:r w:rsidRPr="00D53F30">
              <w:rPr>
                <w:b/>
                <w:vertAlign w:val="superscript"/>
              </w:rPr>
              <w:t>nd</w:t>
            </w:r>
            <w:r w:rsidRPr="00D53F30">
              <w:rPr>
                <w:b/>
              </w:rPr>
              <w:t xml:space="preserve"> </w:t>
            </w:r>
            <w:proofErr w:type="spellStart"/>
            <w:r w:rsidRPr="00D53F30">
              <w:rPr>
                <w:b/>
              </w:rPr>
              <w:t>Guerasio</w:t>
            </w:r>
            <w:proofErr w:type="spellEnd"/>
            <w:r w:rsidRPr="00D53F30">
              <w:rPr>
                <w:b/>
              </w:rPr>
              <w:t xml:space="preserve">  </w:t>
            </w:r>
          </w:p>
          <w:p w:rsidR="00156DFF" w:rsidRDefault="00F64C8C" w:rsidP="00F64C8C">
            <w:pPr>
              <w:jc w:val="center"/>
              <w:rPr>
                <w:b/>
              </w:rPr>
            </w:pPr>
            <w:r w:rsidRPr="00D53F30">
              <w:rPr>
                <w:b/>
              </w:rPr>
              <w:t>VOTE:</w:t>
            </w:r>
            <w:r w:rsidR="00D53F30" w:rsidRPr="00D53F30">
              <w:rPr>
                <w:b/>
              </w:rPr>
              <w:t xml:space="preserve"> 7 Yes – 2 No</w:t>
            </w:r>
          </w:p>
          <w:p w:rsidR="00D53F30" w:rsidRDefault="00D53F30" w:rsidP="00F64C8C">
            <w:pPr>
              <w:jc w:val="center"/>
            </w:pPr>
            <w:r>
              <w:rPr>
                <w:b/>
              </w:rPr>
              <w:t>Passes</w:t>
            </w:r>
            <w:bookmarkStart w:id="0" w:name="_GoBack"/>
            <w:bookmarkEnd w:id="0"/>
          </w:p>
        </w:tc>
      </w:tr>
      <w:tr w:rsidR="00926439" w:rsidTr="00F64C8C">
        <w:tc>
          <w:tcPr>
            <w:tcW w:w="1843" w:type="dxa"/>
            <w:vAlign w:val="center"/>
          </w:tcPr>
          <w:p w:rsidR="00926439" w:rsidRDefault="00926439" w:rsidP="00F64C8C">
            <w:pPr>
              <w:jc w:val="center"/>
            </w:pPr>
          </w:p>
        </w:tc>
        <w:tc>
          <w:tcPr>
            <w:tcW w:w="1865" w:type="dxa"/>
            <w:vAlign w:val="center"/>
          </w:tcPr>
          <w:p w:rsidR="00926439" w:rsidRDefault="00926439" w:rsidP="002028C9">
            <w:pPr>
              <w:jc w:val="center"/>
            </w:pPr>
          </w:p>
        </w:tc>
        <w:tc>
          <w:tcPr>
            <w:tcW w:w="7560" w:type="dxa"/>
            <w:vAlign w:val="center"/>
          </w:tcPr>
          <w:p w:rsidR="00926439" w:rsidRDefault="00926439" w:rsidP="002028C9">
            <w:pPr>
              <w:autoSpaceDE w:val="0"/>
              <w:autoSpaceDN w:val="0"/>
              <w:adjustRightInd w:val="0"/>
              <w:rPr>
                <w:rFonts w:ascii="ArialMT" w:hAnsi="ArialMT" w:cs="ArialMT"/>
                <w:sz w:val="20"/>
                <w:szCs w:val="20"/>
              </w:rPr>
            </w:pPr>
          </w:p>
        </w:tc>
        <w:tc>
          <w:tcPr>
            <w:tcW w:w="2250" w:type="dxa"/>
            <w:vAlign w:val="center"/>
          </w:tcPr>
          <w:p w:rsidR="00926439" w:rsidRDefault="00926439" w:rsidP="00F64C8C">
            <w:pPr>
              <w:jc w:val="center"/>
            </w:pPr>
          </w:p>
        </w:tc>
      </w:tr>
      <w:tr w:rsidR="00F64C8C" w:rsidTr="00F64C8C">
        <w:tc>
          <w:tcPr>
            <w:tcW w:w="1843" w:type="dxa"/>
            <w:shd w:val="clear" w:color="auto" w:fill="BFBFBF" w:themeFill="background1" w:themeFillShade="BF"/>
          </w:tcPr>
          <w:p w:rsidR="00F64C8C" w:rsidRDefault="00F64C8C"/>
        </w:tc>
        <w:tc>
          <w:tcPr>
            <w:tcW w:w="1865" w:type="dxa"/>
            <w:shd w:val="clear" w:color="auto" w:fill="BFBFBF" w:themeFill="background1" w:themeFillShade="BF"/>
          </w:tcPr>
          <w:p w:rsidR="00F64C8C" w:rsidRDefault="00F64C8C"/>
        </w:tc>
        <w:tc>
          <w:tcPr>
            <w:tcW w:w="7560" w:type="dxa"/>
            <w:shd w:val="clear" w:color="auto" w:fill="BFBFBF" w:themeFill="background1" w:themeFillShade="BF"/>
          </w:tcPr>
          <w:p w:rsidR="00F64C8C" w:rsidRDefault="00F64C8C"/>
        </w:tc>
        <w:tc>
          <w:tcPr>
            <w:tcW w:w="2250" w:type="dxa"/>
            <w:shd w:val="clear" w:color="auto" w:fill="BFBFBF" w:themeFill="background1" w:themeFillShade="BF"/>
          </w:tcPr>
          <w:p w:rsidR="00F64C8C" w:rsidRDefault="00F64C8C"/>
        </w:tc>
      </w:tr>
      <w:tr w:rsidR="00926439" w:rsidTr="00F64C8C">
        <w:tc>
          <w:tcPr>
            <w:tcW w:w="1843" w:type="dxa"/>
            <w:shd w:val="clear" w:color="auto" w:fill="BFBFBF" w:themeFill="background1" w:themeFillShade="BF"/>
          </w:tcPr>
          <w:p w:rsidR="00926439" w:rsidRDefault="00926439"/>
        </w:tc>
        <w:tc>
          <w:tcPr>
            <w:tcW w:w="1865" w:type="dxa"/>
            <w:shd w:val="clear" w:color="auto" w:fill="BFBFBF" w:themeFill="background1" w:themeFillShade="BF"/>
          </w:tcPr>
          <w:p w:rsidR="00926439" w:rsidRDefault="00926439"/>
        </w:tc>
        <w:tc>
          <w:tcPr>
            <w:tcW w:w="7560" w:type="dxa"/>
            <w:shd w:val="clear" w:color="auto" w:fill="BFBFBF" w:themeFill="background1" w:themeFillShade="BF"/>
          </w:tcPr>
          <w:p w:rsidR="00926439" w:rsidRDefault="00926439"/>
        </w:tc>
        <w:tc>
          <w:tcPr>
            <w:tcW w:w="2250" w:type="dxa"/>
            <w:shd w:val="clear" w:color="auto" w:fill="BFBFBF" w:themeFill="background1" w:themeFillShade="BF"/>
          </w:tcPr>
          <w:p w:rsidR="00926439" w:rsidRDefault="00926439"/>
        </w:tc>
      </w:tr>
    </w:tbl>
    <w:p w:rsidR="00D75FD0" w:rsidRDefault="00087A69"/>
    <w:sectPr w:rsidR="00D75FD0" w:rsidSect="00156DF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DFF"/>
    <w:rsid w:val="00156DFF"/>
    <w:rsid w:val="002028C9"/>
    <w:rsid w:val="002D278C"/>
    <w:rsid w:val="006511C8"/>
    <w:rsid w:val="00926439"/>
    <w:rsid w:val="00AF0A7B"/>
    <w:rsid w:val="00D53F30"/>
    <w:rsid w:val="00DB3B22"/>
    <w:rsid w:val="00EC722E"/>
    <w:rsid w:val="00F53294"/>
    <w:rsid w:val="00F64C8C"/>
    <w:rsid w:val="00F81865"/>
    <w:rsid w:val="00FA1A00"/>
    <w:rsid w:val="00FD3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 Marlita</dc:creator>
  <cp:lastModifiedBy>Codes</cp:lastModifiedBy>
  <cp:revision>2</cp:revision>
  <dcterms:created xsi:type="dcterms:W3CDTF">2022-06-23T21:49:00Z</dcterms:created>
  <dcterms:modified xsi:type="dcterms:W3CDTF">2022-06-23T21:49:00Z</dcterms:modified>
</cp:coreProperties>
</file>